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jc w:val="center"/>
      </w:pPr>
      <w:r>
        <w:rPr>
          <w:b/>
          <w:bCs/>
          <w:color w:val="1e3a5f"/>
          <w:sz w:val="72"/>
          <w:szCs w:val="72"/>
        </w:rPr>
        <w:t xml:space="preserve">TOWN WOODS</w:t>
      </w:r>
    </w:p>
    <w:p>
      <w:pPr>
        <w:spacing w:after="400"/>
        <w:jc w:val="center"/>
      </w:pPr>
      <w:r>
        <w:rPr>
          <w:b/>
          <w:bCs/>
          <w:color w:val="059669"/>
          <w:sz w:val="48"/>
          <w:szCs w:val="48"/>
        </w:rPr>
        <w:t xml:space="preserve">REGENERATIVE VILLAGE</w:t>
      </w:r>
    </w:p>
    <w:p>
      <w:pPr>
        <w:spacing w:after="800"/>
        <w:jc w:val="center"/>
      </w:pPr>
      <w:r>
        <w:rPr>
          <w:color w:val="666666"/>
          <w:sz w:val="32"/>
          <w:szCs w:val="32"/>
        </w:rPr>
        <w:t xml:space="preserve">Complete Development Plan</w:t>
      </w:r>
    </w:p>
    <w:p>
      <w:pPr>
        <w:jc w:val="center"/>
      </w:pPr>
      <w:r>
        <w:rPr>
          <w:color w:val="666666"/>
          <w:sz w:val="24"/>
          <w:szCs w:val="24"/>
        </w:rPr>
        <w:t xml:space="preserve">50 Units | 45 Acres | Net-Positive Energy | Integrated Food Production</w:t>
      </w:r>
    </w:p>
    <w:p>
      <w:pPr>
        <w:spacing w:before="1500"/>
      </w:pPr>
    </w:p>
    <w:p>
      <w:pPr>
        <w:jc w:val="center"/>
      </w:pPr>
      <w:r>
        <w:rPr>
          <w:b/>
          <w:bCs/>
          <w:sz w:val="24"/>
          <w:szCs w:val="24"/>
        </w:rPr>
        <w:t xml:space="preserve">Prepared by Killer Catfish LLC</w:t>
      </w:r>
    </w:p>
    <w:p>
      <w:pPr>
        <w:jc w:val="center"/>
      </w:pPr>
      <w:r>
        <w:rPr>
          <w:color w:val="666666"/>
          <w:sz w:val="24"/>
          <w:szCs w:val="24"/>
        </w:rPr>
        <w:t xml:space="preserve">January 2026</w:t>
      </w:r>
    </w:p>
    <w:p>
      <w:r>
        <w:br w:type="page"/>
      </w:r>
    </w:p>
    <w:p>
      <w:pPr>
        <w:pStyle w:val="Heading1"/>
        <w:spacing w:before="400" w:after="200"/>
      </w:pPr>
      <w:r>
        <w:rPr>
          <w:b/>
          <w:bCs/>
          <w:sz w:val="36"/>
          <w:szCs w:val="36"/>
        </w:rPr>
        <w:t xml:space="preserve">Executive Summary</w:t>
      </w:r>
    </w:p>
    <w:p>
      <w:pPr>
        <w:spacing w:after="200"/>
      </w:pPr>
      <w:r>
        <w:rPr>
          <w:sz w:val="24"/>
          <w:szCs w:val="24"/>
        </w:rPr>
        <w:t xml:space="preserve">Town Woods Regenerative Village is a 50-unit residential development that integrates housing, food production, and renewable energy into a cohesive, self-sustaining community. Located on approximately 45 acres, the development organizes residents into seven intimate clusters of 7-8 homes each, with shared aquaponics systems, community gardens, and gathering spaces.</w:t>
      </w:r>
    </w:p>
    <w:p>
      <w:pPr>
        <w:spacing w:after="200"/>
      </w:pPr>
      <w:r>
        <w:rPr>
          <w:sz w:val="24"/>
          <w:szCs w:val="24"/>
        </w:rPr>
        <w:t xml:space="preserve">The project represents a new model for rural housing development that addresses multiple challenges simultaneously: housing affordability, food security, energy independence, and community connection. By designing the community around food production infrastructure, we unlock significant federal agricultural funding that reduces overall development costs and resident expenses.</w:t>
      </w:r>
    </w:p>
    <w:p>
      <w:pPr>
        <w:spacing w:before="200" w:after="200"/>
      </w:pPr>
      <w:r>
        <w:rPr>
          <w:b/>
          <w:bCs/>
          <w:sz w:val="24"/>
          <w:szCs w:val="24"/>
        </w:rPr>
        <w:t xml:space="preserve">Key Project Metrics: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tcBorders>
              <w:top w:val="single" w:color="CCCCCC" w:sz="1"/>
              <w:left w:val="single" w:color="CCCCCC" w:sz="1"/>
              <w:bottom w:val="single" w:color="CCCCCC" w:sz="1"/>
              <w:right w:val="single" w:color="CCCCCC" w:sz="1"/>
            </w:tcBorders>
            <w:shd w:fill="E8F4F8" w:val="clear"/>
          </w:tcPr>
          <w:p>
            <w:r>
              <w:rPr>
                <w:b/>
                <w:bCs/>
                <w:sz w:val="22"/>
                <w:szCs w:val="22"/>
              </w:rPr>
              <w:t xml:space="preserve">Total Development Cost</w:t>
            </w:r>
          </w:p>
        </w:tc>
        <w:tc>
          <w:tcPr>
            <w:tcW w:type="dxa" w:w="4500"/>
            <w:tcBorders>
              <w:top w:val="single" w:color="CCCCCC" w:sz="1"/>
              <w:left w:val="single" w:color="CCCCCC" w:sz="1"/>
              <w:bottom w:val="single" w:color="CCCCCC" w:sz="1"/>
              <w:right w:val="single" w:color="CCCCCC" w:sz="1"/>
            </w:tcBorders>
          </w:tcPr>
          <w:p>
            <w:pPr>
              <w:jc w:val="right"/>
            </w:pPr>
            <w:r>
              <w:rPr>
                <w:sz w:val="22"/>
                <w:szCs w:val="22"/>
              </w:rPr>
              <w:t xml:space="preserve">$9,000,000</w:t>
            </w:r>
          </w:p>
        </w:tc>
      </w:tr>
      <w:tr>
        <w:tc>
          <w:tcPr>
            <w:tcBorders>
              <w:top w:val="single" w:color="CCCCCC" w:sz="1"/>
              <w:left w:val="single" w:color="CCCCCC" w:sz="1"/>
              <w:bottom w:val="single" w:color="CCCCCC" w:sz="1"/>
              <w:right w:val="single" w:color="CCCCCC" w:sz="1"/>
            </w:tcBorders>
            <w:shd w:fill="E8F4F8" w:val="clear"/>
          </w:tcPr>
          <w:p>
            <w:r>
              <w:rPr>
                <w:b/>
                <w:bCs/>
                <w:sz w:val="22"/>
                <w:szCs w:val="22"/>
              </w:rPr>
              <w:t xml:space="preserve">Housing Units</w:t>
            </w:r>
          </w:p>
        </w:tc>
        <w:tc>
          <w:tcPr>
            <w:tcBorders>
              <w:top w:val="single" w:color="CCCCCC" w:sz="1"/>
              <w:left w:val="single" w:color="CCCCCC" w:sz="1"/>
              <w:bottom w:val="single" w:color="CCCCCC" w:sz="1"/>
              <w:right w:val="single" w:color="CCCCCC" w:sz="1"/>
            </w:tcBorders>
          </w:tcPr>
          <w:p>
            <w:pPr>
              <w:jc w:val="right"/>
            </w:pPr>
            <w:r>
              <w:rPr>
                <w:sz w:val="22"/>
                <w:szCs w:val="22"/>
              </w:rPr>
              <w:t xml:space="preserve">50 (3BR/2BA each)</w:t>
            </w:r>
          </w:p>
        </w:tc>
      </w:tr>
      <w:tr>
        <w:tc>
          <w:tcPr>
            <w:tcBorders>
              <w:top w:val="single" w:color="CCCCCC" w:sz="1"/>
              <w:left w:val="single" w:color="CCCCCC" w:sz="1"/>
              <w:bottom w:val="single" w:color="CCCCCC" w:sz="1"/>
              <w:right w:val="single" w:color="CCCCCC" w:sz="1"/>
            </w:tcBorders>
            <w:shd w:fill="E8F4F8" w:val="clear"/>
          </w:tcPr>
          <w:p>
            <w:r>
              <w:rPr>
                <w:b/>
                <w:bCs/>
                <w:sz w:val="22"/>
                <w:szCs w:val="22"/>
              </w:rPr>
              <w:t xml:space="preserve">Total Acreage</w:t>
            </w:r>
          </w:p>
        </w:tc>
        <w:tc>
          <w:tcPr>
            <w:tcBorders>
              <w:top w:val="single" w:color="CCCCCC" w:sz="1"/>
              <w:left w:val="single" w:color="CCCCCC" w:sz="1"/>
              <w:bottom w:val="single" w:color="CCCCCC" w:sz="1"/>
              <w:right w:val="single" w:color="CCCCCC" w:sz="1"/>
            </w:tcBorders>
          </w:tcPr>
          <w:p>
            <w:pPr>
              <w:jc w:val="right"/>
            </w:pPr>
            <w:r>
              <w:rPr>
                <w:sz w:val="22"/>
                <w:szCs w:val="22"/>
              </w:rPr>
              <w:t xml:space="preserve">~45 acres</w:t>
            </w:r>
          </w:p>
        </w:tc>
      </w:tr>
      <w:tr>
        <w:tc>
          <w:tcPr>
            <w:tcBorders>
              <w:top w:val="single" w:color="CCCCCC" w:sz="1"/>
              <w:left w:val="single" w:color="CCCCCC" w:sz="1"/>
              <w:bottom w:val="single" w:color="CCCCCC" w:sz="1"/>
              <w:right w:val="single" w:color="CCCCCC" w:sz="1"/>
            </w:tcBorders>
            <w:shd w:fill="E8F4F8" w:val="clear"/>
          </w:tcPr>
          <w:p>
            <w:r>
              <w:rPr>
                <w:b/>
                <w:bCs/>
                <w:sz w:val="22"/>
                <w:szCs w:val="22"/>
              </w:rPr>
              <w:t xml:space="preserve">Solar Capacity</w:t>
            </w:r>
          </w:p>
        </w:tc>
        <w:tc>
          <w:tcPr>
            <w:tcBorders>
              <w:top w:val="single" w:color="CCCCCC" w:sz="1"/>
              <w:left w:val="single" w:color="CCCCCC" w:sz="1"/>
              <w:bottom w:val="single" w:color="CCCCCC" w:sz="1"/>
              <w:right w:val="single" w:color="CCCCCC" w:sz="1"/>
            </w:tcBorders>
          </w:tcPr>
          <w:p>
            <w:pPr>
              <w:jc w:val="right"/>
            </w:pPr>
            <w:r>
              <w:rPr>
                <w:sz w:val="22"/>
                <w:szCs w:val="22"/>
              </w:rPr>
              <w:t xml:space="preserve">850 kW (net-positive)</w:t>
            </w:r>
          </w:p>
        </w:tc>
      </w:tr>
      <w:tr>
        <w:tc>
          <w:tcPr>
            <w:tcBorders>
              <w:top w:val="single" w:color="CCCCCC" w:sz="1"/>
              <w:left w:val="single" w:color="CCCCCC" w:sz="1"/>
              <w:bottom w:val="single" w:color="CCCCCC" w:sz="1"/>
              <w:right w:val="single" w:color="CCCCCC" w:sz="1"/>
            </w:tcBorders>
            <w:shd w:fill="E8F4F8" w:val="clear"/>
          </w:tcPr>
          <w:p>
            <w:r>
              <w:rPr>
                <w:b/>
                <w:bCs/>
                <w:sz w:val="22"/>
                <w:szCs w:val="22"/>
              </w:rPr>
              <w:t xml:space="preserve">Food Production</w:t>
            </w:r>
          </w:p>
        </w:tc>
        <w:tc>
          <w:tcPr>
            <w:tcBorders>
              <w:top w:val="single" w:color="CCCCCC" w:sz="1"/>
              <w:left w:val="single" w:color="CCCCCC" w:sz="1"/>
              <w:bottom w:val="single" w:color="CCCCCC" w:sz="1"/>
              <w:right w:val="single" w:color="CCCCCC" w:sz="1"/>
            </w:tcBorders>
          </w:tcPr>
          <w:p>
            <w:pPr>
              <w:jc w:val="right"/>
            </w:pPr>
            <w:r>
              <w:rPr>
                <w:sz w:val="22"/>
                <w:szCs w:val="22"/>
              </w:rPr>
              <w:t xml:space="preserve">27,000+ lbs annually</w:t>
            </w:r>
          </w:p>
        </w:tc>
      </w:tr>
      <w:tr>
        <w:tc>
          <w:tcPr>
            <w:tcBorders>
              <w:top w:val="single" w:color="CCCCCC" w:sz="1"/>
              <w:left w:val="single" w:color="CCCCCC" w:sz="1"/>
              <w:bottom w:val="single" w:color="CCCCCC" w:sz="1"/>
              <w:right w:val="single" w:color="CCCCCC" w:sz="1"/>
            </w:tcBorders>
            <w:shd w:fill="E8F4F8" w:val="clear"/>
          </w:tcPr>
          <w:p>
            <w:r>
              <w:rPr>
                <w:b/>
                <w:bCs/>
                <w:sz w:val="22"/>
                <w:szCs w:val="22"/>
              </w:rPr>
              <w:t xml:space="preserve">Grants &amp; Tax Credits</w:t>
            </w:r>
          </w:p>
        </w:tc>
        <w:tc>
          <w:tcPr>
            <w:tcBorders>
              <w:top w:val="single" w:color="CCCCCC" w:sz="1"/>
              <w:left w:val="single" w:color="CCCCCC" w:sz="1"/>
              <w:bottom w:val="single" w:color="CCCCCC" w:sz="1"/>
              <w:right w:val="single" w:color="CCCCCC" w:sz="1"/>
            </w:tcBorders>
          </w:tcPr>
          <w:p>
            <w:pPr>
              <w:jc w:val="right"/>
            </w:pPr>
            <w:r>
              <w:rPr>
                <w:sz w:val="22"/>
                <w:szCs w:val="22"/>
              </w:rPr>
              <w:t xml:space="preserve">$2,375,000 (26%)</w:t>
            </w:r>
          </w:p>
        </w:tc>
      </w:tr>
    </w:tbl>
    <w:p>
      <w:r>
        <w:br w:type="page"/>
      </w:r>
    </w:p>
    <w:p>
      <w:pPr>
        <w:pStyle w:val="Heading1"/>
        <w:spacing w:before="400" w:after="200"/>
      </w:pPr>
      <w:r>
        <w:rPr>
          <w:b/>
          <w:bCs/>
          <w:sz w:val="36"/>
          <w:szCs w:val="36"/>
        </w:rPr>
        <w:t xml:space="preserve">Section 1: Cluster Layout Design</w:t>
      </w:r>
    </w:p>
    <w:p>
      <w:pPr>
        <w:pStyle w:val="Heading2"/>
        <w:spacing w:before="300" w:after="200"/>
      </w:pPr>
      <w:r>
        <w:rPr>
          <w:b/>
          <w:bCs/>
          <w:sz w:val="28"/>
          <w:szCs w:val="28"/>
        </w:rPr>
        <w:t xml:space="preserve">1.1 The Cluster Concept</w:t>
      </w:r>
    </w:p>
    <w:p>
      <w:pPr>
        <w:spacing w:after="200"/>
      </w:pPr>
      <w:r>
        <w:rPr>
          <w:sz w:val="24"/>
          <w:szCs w:val="24"/>
        </w:rPr>
        <w:t xml:space="preserve">Rather than a traditional subdivision layout with homes lined up along streets, Town Woods organizes housing into seven distinct clusters. Each cluster functions as a semi-autonomous neighborhood within the larger community, with its own shared infrastructure and social identity.</w:t>
      </w:r>
    </w:p>
    <w:p>
      <w:pPr>
        <w:spacing w:after="200"/>
      </w:pPr>
      <w:r>
        <w:rPr>
          <w:b/>
          <w:bCs/>
          <w:sz w:val="24"/>
          <w:szCs w:val="24"/>
        </w:rPr>
        <w:t xml:space="preserve">The cluster approach offers several advantages:</w:t>
      </w:r>
    </w:p>
    <w:p>
      <w:pPr>
        <w:pStyle w:val="ListParagraph"/>
        <w:numPr>
          <w:ilvl w:val="0"/>
          <w:numId w:val="1"/>
        </w:numPr>
        <w:spacing w:after="100"/>
      </w:pPr>
      <w:r>
        <w:rPr>
          <w:sz w:val="24"/>
          <w:szCs w:val="24"/>
        </w:rPr>
        <w:t xml:space="preserve">Community Scale: 7-8 households is small enough for everyone to know each other by name</w:t>
      </w:r>
    </w:p>
    <w:p>
      <w:pPr>
        <w:pStyle w:val="ListParagraph"/>
        <w:numPr>
          <w:ilvl w:val="0"/>
          <w:numId w:val="1"/>
        </w:numPr>
        <w:spacing w:after="100"/>
      </w:pPr>
      <w:r>
        <w:rPr>
          <w:sz w:val="24"/>
          <w:szCs w:val="24"/>
        </w:rPr>
        <w:t xml:space="preserve">Shared Resources: Each cluster justifies its own aquaponics container and community garden</w:t>
      </w:r>
    </w:p>
    <w:p>
      <w:pPr>
        <w:pStyle w:val="ListParagraph"/>
        <w:numPr>
          <w:ilvl w:val="0"/>
          <w:numId w:val="1"/>
        </w:numPr>
        <w:spacing w:after="100"/>
      </w:pPr>
      <w:r>
        <w:rPr>
          <w:sz w:val="24"/>
          <w:szCs w:val="24"/>
        </w:rPr>
        <w:t xml:space="preserve">Preserved Landscape: Clusters fit into the existing tree canopy rather than clearing for a grid</w:t>
      </w:r>
    </w:p>
    <w:p>
      <w:pPr>
        <w:pStyle w:val="ListParagraph"/>
        <w:numPr>
          <w:ilvl w:val="0"/>
          <w:numId w:val="1"/>
        </w:numPr>
        <w:spacing w:after="100"/>
      </w:pPr>
      <w:r>
        <w:rPr>
          <w:sz w:val="24"/>
          <w:szCs w:val="24"/>
        </w:rPr>
        <w:t xml:space="preserve">Redundancy: If one cluster's systems need maintenance, six others continue operating</w:t>
      </w:r>
    </w:p>
    <w:p>
      <w:pPr>
        <w:pStyle w:val="ListParagraph"/>
        <w:numPr>
          <w:ilvl w:val="0"/>
          <w:numId w:val="1"/>
        </w:numPr>
        <w:spacing w:after="100"/>
      </w:pPr>
      <w:r>
        <w:rPr>
          <w:sz w:val="24"/>
          <w:szCs w:val="24"/>
        </w:rPr>
        <w:t xml:space="preserve">Phased Development: Clusters can be built sequentially as funding allows</w:t>
      </w:r>
    </w:p>
    <w:p>
      <w:pPr>
        <w:pStyle w:val="Heading2"/>
        <w:spacing w:before="300" w:after="200"/>
      </w:pPr>
      <w:r>
        <w:rPr>
          <w:b/>
          <w:bCs/>
          <w:sz w:val="28"/>
          <w:szCs w:val="28"/>
        </w:rPr>
        <w:t xml:space="preserve">1.2 Individual Cluster Specifications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Borders>
              <w:top w:val="single" w:color="CCCCCC" w:sz="1"/>
              <w:left w:val="single" w:color="CCCCCC" w:sz="1"/>
              <w:bottom w:val="single" w:color="CCCCCC" w:sz="1"/>
              <w:right w:val="single" w:color="CCCCCC" w:sz="1"/>
            </w:tcBorders>
            <w:shd w:fill="1e3a5f" w:val="clear"/>
          </w:tcPr>
          <w:p>
            <w:r>
              <w:rPr>
                <w:b/>
                <w:bCs/>
                <w:color w:val="FFFFFF"/>
                <w:sz w:val="22"/>
                <w:szCs w:val="22"/>
              </w:rPr>
              <w:t xml:space="preserve">Element</w:t>
            </w:r>
          </w:p>
        </w:tc>
        <w:tc>
          <w:tcPr>
            <w:tcBorders>
              <w:top w:val="single" w:color="CCCCCC" w:sz="1"/>
              <w:left w:val="single" w:color="CCCCCC" w:sz="1"/>
              <w:bottom w:val="single" w:color="CCCCCC" w:sz="1"/>
              <w:right w:val="single" w:color="CCCCCC" w:sz="1"/>
            </w:tcBorders>
            <w:shd w:fill="1e3a5f" w:val="clear"/>
          </w:tcPr>
          <w:p>
            <w:r>
              <w:rPr>
                <w:b/>
                <w:bCs/>
                <w:color w:val="FFFFFF"/>
                <w:sz w:val="22"/>
                <w:szCs w:val="22"/>
              </w:rPr>
              <w:t xml:space="preserve">Quantity</w:t>
            </w:r>
          </w:p>
        </w:tc>
        <w:tc>
          <w:tcPr>
            <w:tcBorders>
              <w:top w:val="single" w:color="CCCCCC" w:sz="1"/>
              <w:left w:val="single" w:color="CCCCCC" w:sz="1"/>
              <w:bottom w:val="single" w:color="CCCCCC" w:sz="1"/>
              <w:right w:val="single" w:color="CCCCCC" w:sz="1"/>
            </w:tcBorders>
            <w:shd w:fill="1e3a5f" w:val="clear"/>
          </w:tcPr>
          <w:p>
            <w:r>
              <w:rPr>
                <w:b/>
                <w:bCs/>
                <w:color w:val="FFFFFF"/>
                <w:sz w:val="22"/>
                <w:szCs w:val="22"/>
              </w:rPr>
              <w:t xml:space="preserve">Notes</w:t>
            </w:r>
          </w:p>
        </w:tc>
      </w:tr>
      <w:tr>
        <w:tc>
          <w:tcPr>
            <w:tcBorders>
              <w:top w:val="single" w:color="CCCCCC" w:sz="1"/>
              <w:left w:val="single" w:color="CCCCCC" w:sz="1"/>
              <w:bottom w:val="single" w:color="CCCCCC" w:sz="1"/>
              <w:right w:val="single" w:color="CCCCCC" w:sz="1"/>
            </w:tcBorders>
          </w:tcPr>
          <w:p>
            <w:r>
              <w:rPr>
                <w:sz w:val="22"/>
                <w:szCs w:val="22"/>
              </w:rPr>
              <w:t xml:space="preserve">Housing Units</w:t>
            </w:r>
          </w:p>
        </w:tc>
        <w:tc>
          <w:tcPr>
            <w:tcBorders>
              <w:top w:val="single" w:color="CCCCCC" w:sz="1"/>
              <w:left w:val="single" w:color="CCCCCC" w:sz="1"/>
              <w:bottom w:val="single" w:color="CCCCCC" w:sz="1"/>
              <w:right w:val="single" w:color="CCCCCC" w:sz="1"/>
            </w:tcBorders>
          </w:tcPr>
          <w:p>
            <w:r>
              <w:rPr>
                <w:sz w:val="22"/>
                <w:szCs w:val="22"/>
              </w:rPr>
              <w:t xml:space="preserve">7-8</w:t>
            </w:r>
          </w:p>
        </w:tc>
        <w:tc>
          <w:tcPr>
            <w:tcBorders>
              <w:top w:val="single" w:color="CCCCCC" w:sz="1"/>
              <w:left w:val="single" w:color="CCCCCC" w:sz="1"/>
              <w:bottom w:val="single" w:color="CCCCCC" w:sz="1"/>
              <w:right w:val="single" w:color="CCCCCC" w:sz="1"/>
            </w:tcBorders>
          </w:tcPr>
          <w:p>
            <w:r>
              <w:rPr>
                <w:sz w:val="22"/>
                <w:szCs w:val="22"/>
              </w:rPr>
              <w:t xml:space="preserve">Triple Trio design (960 sf each)</w:t>
            </w:r>
          </w:p>
        </w:tc>
      </w:tr>
      <w:tr>
        <w:tc>
          <w:tcPr>
            <w:tcBorders>
              <w:top w:val="single" w:color="CCCCCC" w:sz="1"/>
              <w:left w:val="single" w:color="CCCCCC" w:sz="1"/>
              <w:bottom w:val="single" w:color="CCCCCC" w:sz="1"/>
              <w:right w:val="single" w:color="CCCCCC" w:sz="1"/>
            </w:tcBorders>
          </w:tcPr>
          <w:p>
            <w:r>
              <w:rPr>
                <w:sz w:val="22"/>
                <w:szCs w:val="22"/>
              </w:rPr>
              <w:t xml:space="preserve">Aquaponics Container</w:t>
            </w:r>
          </w:p>
        </w:tc>
        <w:tc>
          <w:tcPr>
            <w:tcBorders>
              <w:top w:val="single" w:color="CCCCCC" w:sz="1"/>
              <w:left w:val="single" w:color="CCCCCC" w:sz="1"/>
              <w:bottom w:val="single" w:color="CCCCCC" w:sz="1"/>
              <w:right w:val="single" w:color="CCCCCC" w:sz="1"/>
            </w:tcBorders>
          </w:tcPr>
          <w:p>
            <w:r>
              <w:rPr>
                <w:sz w:val="22"/>
                <w:szCs w:val="22"/>
              </w:rPr>
              <w:t xml:space="preserve">1</w:t>
            </w:r>
          </w:p>
        </w:tc>
        <w:tc>
          <w:tcPr>
            <w:tcBorders>
              <w:top w:val="single" w:color="CCCCCC" w:sz="1"/>
              <w:left w:val="single" w:color="CCCCCC" w:sz="1"/>
              <w:bottom w:val="single" w:color="CCCCCC" w:sz="1"/>
              <w:right w:val="single" w:color="CCCCCC" w:sz="1"/>
            </w:tcBorders>
          </w:tcPr>
          <w:p>
            <w:r>
              <w:rPr>
                <w:sz w:val="22"/>
                <w:szCs w:val="22"/>
              </w:rPr>
              <w:t xml:space="preserve">40-ft container, centrally located</w:t>
            </w:r>
          </w:p>
        </w:tc>
      </w:tr>
      <w:tr>
        <w:tc>
          <w:tcPr>
            <w:tcBorders>
              <w:top w:val="single" w:color="CCCCCC" w:sz="1"/>
              <w:left w:val="single" w:color="CCCCCC" w:sz="1"/>
              <w:bottom w:val="single" w:color="CCCCCC" w:sz="1"/>
              <w:right w:val="single" w:color="CCCCCC" w:sz="1"/>
            </w:tcBorders>
          </w:tcPr>
          <w:p>
            <w:r>
              <w:rPr>
                <w:sz w:val="22"/>
                <w:szCs w:val="22"/>
              </w:rPr>
              <w:t xml:space="preserve">Community Garden</w:t>
            </w:r>
          </w:p>
        </w:tc>
        <w:tc>
          <w:tcPr>
            <w:tcBorders>
              <w:top w:val="single" w:color="CCCCCC" w:sz="1"/>
              <w:left w:val="single" w:color="CCCCCC" w:sz="1"/>
              <w:bottom w:val="single" w:color="CCCCCC" w:sz="1"/>
              <w:right w:val="single" w:color="CCCCCC" w:sz="1"/>
            </w:tcBorders>
          </w:tcPr>
          <w:p>
            <w:r>
              <w:rPr>
                <w:sz w:val="22"/>
                <w:szCs w:val="22"/>
              </w:rPr>
              <w:t xml:space="preserve">~3,500 sf</w:t>
            </w:r>
          </w:p>
        </w:tc>
        <w:tc>
          <w:tcPr>
            <w:tcBorders>
              <w:top w:val="single" w:color="CCCCCC" w:sz="1"/>
              <w:left w:val="single" w:color="CCCCCC" w:sz="1"/>
              <w:bottom w:val="single" w:color="CCCCCC" w:sz="1"/>
              <w:right w:val="single" w:color="CCCCCC" w:sz="1"/>
            </w:tcBorders>
          </w:tcPr>
          <w:p>
            <w:r>
              <w:rPr>
                <w:sz w:val="22"/>
                <w:szCs w:val="22"/>
              </w:rPr>
              <w:t xml:space="preserve">14 plots (2 per household)</w:t>
            </w:r>
          </w:p>
        </w:tc>
      </w:tr>
      <w:tr>
        <w:tc>
          <w:tcPr>
            <w:tcBorders>
              <w:top w:val="single" w:color="CCCCCC" w:sz="1"/>
              <w:left w:val="single" w:color="CCCCCC" w:sz="1"/>
              <w:bottom w:val="single" w:color="CCCCCC" w:sz="1"/>
              <w:right w:val="single" w:color="CCCCCC" w:sz="1"/>
            </w:tcBorders>
          </w:tcPr>
          <w:p>
            <w:r>
              <w:rPr>
                <w:sz w:val="22"/>
                <w:szCs w:val="22"/>
              </w:rPr>
              <w:t xml:space="preserve">Parking Court</w:t>
            </w:r>
          </w:p>
        </w:tc>
        <w:tc>
          <w:tcPr>
            <w:tcBorders>
              <w:top w:val="single" w:color="CCCCCC" w:sz="1"/>
              <w:left w:val="single" w:color="CCCCCC" w:sz="1"/>
              <w:bottom w:val="single" w:color="CCCCCC" w:sz="1"/>
              <w:right w:val="single" w:color="CCCCCC" w:sz="1"/>
            </w:tcBorders>
          </w:tcPr>
          <w:p>
            <w:r>
              <w:rPr>
                <w:sz w:val="22"/>
                <w:szCs w:val="22"/>
              </w:rPr>
              <w:t xml:space="preserve">14-18 spaces</w:t>
            </w:r>
          </w:p>
        </w:tc>
        <w:tc>
          <w:tcPr>
            <w:tcBorders>
              <w:top w:val="single" w:color="CCCCCC" w:sz="1"/>
              <w:left w:val="single" w:color="CCCCCC" w:sz="1"/>
              <w:bottom w:val="single" w:color="CCCCCC" w:sz="1"/>
              <w:right w:val="single" w:color="CCCCCC" w:sz="1"/>
            </w:tcBorders>
          </w:tcPr>
          <w:p>
            <w:r>
              <w:rPr>
                <w:sz w:val="22"/>
                <w:szCs w:val="22"/>
              </w:rPr>
              <w:t xml:space="preserve">4 EV charging stations</w:t>
            </w:r>
          </w:p>
        </w:tc>
      </w:tr>
      <w:tr>
        <w:tc>
          <w:tcPr>
            <w:tcBorders>
              <w:top w:val="single" w:color="CCCCCC" w:sz="1"/>
              <w:left w:val="single" w:color="CCCCCC" w:sz="1"/>
              <w:bottom w:val="single" w:color="CCCCCC" w:sz="1"/>
              <w:right w:val="single" w:color="CCCCCC" w:sz="1"/>
            </w:tcBorders>
          </w:tcPr>
          <w:p>
            <w:r>
              <w:rPr>
                <w:sz w:val="22"/>
                <w:szCs w:val="22"/>
              </w:rPr>
              <w:t xml:space="preserve">Gathering Pavilion</w:t>
            </w:r>
          </w:p>
        </w:tc>
        <w:tc>
          <w:tcPr>
            <w:tcBorders>
              <w:top w:val="single" w:color="CCCCCC" w:sz="1"/>
              <w:left w:val="single" w:color="CCCCCC" w:sz="1"/>
              <w:bottom w:val="single" w:color="CCCCCC" w:sz="1"/>
              <w:right w:val="single" w:color="CCCCCC" w:sz="1"/>
            </w:tcBorders>
          </w:tcPr>
          <w:p>
            <w:r>
              <w:rPr>
                <w:sz w:val="22"/>
                <w:szCs w:val="22"/>
              </w:rPr>
              <w:t xml:space="preserve">~400 sf</w:t>
            </w:r>
          </w:p>
        </w:tc>
        <w:tc>
          <w:tcPr>
            <w:tcBorders>
              <w:top w:val="single" w:color="CCCCCC" w:sz="1"/>
              <w:left w:val="single" w:color="CCCCCC" w:sz="1"/>
              <w:bottom w:val="single" w:color="CCCCCC" w:sz="1"/>
              <w:right w:val="single" w:color="CCCCCC" w:sz="1"/>
            </w:tcBorders>
          </w:tcPr>
          <w:p>
            <w:r>
              <w:rPr>
                <w:sz w:val="22"/>
                <w:szCs w:val="22"/>
              </w:rPr>
              <w:t xml:space="preserve">Covered outdoor space, BBQ area</w:t>
            </w:r>
          </w:p>
        </w:tc>
      </w:tr>
      <w:tr>
        <w:tc>
          <w:tcPr>
            <w:tcBorders>
              <w:top w:val="single" w:color="CCCCCC" w:sz="1"/>
              <w:left w:val="single" w:color="CCCCCC" w:sz="1"/>
              <w:bottom w:val="single" w:color="CCCCCC" w:sz="1"/>
              <w:right w:val="single" w:color="CCCCCC" w:sz="1"/>
            </w:tcBorders>
          </w:tcPr>
          <w:p>
            <w:r>
              <w:rPr>
                <w:sz w:val="22"/>
                <w:szCs w:val="22"/>
              </w:rPr>
              <w:t xml:space="preserve">Tool Shed</w:t>
            </w:r>
          </w:p>
        </w:tc>
        <w:tc>
          <w:tcPr>
            <w:tcBorders>
              <w:top w:val="single" w:color="CCCCCC" w:sz="1"/>
              <w:left w:val="single" w:color="CCCCCC" w:sz="1"/>
              <w:bottom w:val="single" w:color="CCCCCC" w:sz="1"/>
              <w:right w:val="single" w:color="CCCCCC" w:sz="1"/>
            </w:tcBorders>
          </w:tcPr>
          <w:p>
            <w:r>
              <w:rPr>
                <w:sz w:val="22"/>
                <w:szCs w:val="22"/>
              </w:rPr>
              <w:t xml:space="preserve">~200 sf</w:t>
            </w:r>
          </w:p>
        </w:tc>
        <w:tc>
          <w:tcPr>
            <w:tcBorders>
              <w:top w:val="single" w:color="CCCCCC" w:sz="1"/>
              <w:left w:val="single" w:color="CCCCCC" w:sz="1"/>
              <w:bottom w:val="single" w:color="CCCCCC" w:sz="1"/>
              <w:right w:val="single" w:color="CCCCCC" w:sz="1"/>
            </w:tcBorders>
          </w:tcPr>
          <w:p>
            <w:r>
              <w:rPr>
                <w:sz w:val="22"/>
                <w:szCs w:val="22"/>
              </w:rPr>
              <w:t xml:space="preserve">Garden tools, bikes, shared equipment</w:t>
            </w:r>
          </w:p>
        </w:tc>
      </w:tr>
      <w:tr>
        <w:tc>
          <w:tcPr>
            <w:tcBorders>
              <w:top w:val="single" w:color="CCCCCC" w:sz="1"/>
              <w:left w:val="single" w:color="CCCCCC" w:sz="1"/>
              <w:bottom w:val="single" w:color="CCCCCC" w:sz="1"/>
              <w:right w:val="single" w:color="CCCCCC" w:sz="1"/>
            </w:tcBorders>
          </w:tcPr>
          <w:p>
            <w:r>
              <w:rPr>
                <w:sz w:val="22"/>
                <w:szCs w:val="22"/>
              </w:rPr>
              <w:t xml:space="preserve">Mini Orchard</w:t>
            </w:r>
          </w:p>
        </w:tc>
        <w:tc>
          <w:tcPr>
            <w:tcBorders>
              <w:top w:val="single" w:color="CCCCCC" w:sz="1"/>
              <w:left w:val="single" w:color="CCCCCC" w:sz="1"/>
              <w:bottom w:val="single" w:color="CCCCCC" w:sz="1"/>
              <w:right w:val="single" w:color="CCCCCC" w:sz="1"/>
            </w:tcBorders>
          </w:tcPr>
          <w:p>
            <w:r>
              <w:rPr>
                <w:sz w:val="22"/>
                <w:szCs w:val="22"/>
              </w:rPr>
              <w:t xml:space="preserve">7-12 trees</w:t>
            </w:r>
          </w:p>
        </w:tc>
        <w:tc>
          <w:tcPr>
            <w:tcBorders>
              <w:top w:val="single" w:color="CCCCCC" w:sz="1"/>
              <w:left w:val="single" w:color="CCCCCC" w:sz="1"/>
              <w:bottom w:val="single" w:color="CCCCCC" w:sz="1"/>
              <w:right w:val="single" w:color="CCCCCC" w:sz="1"/>
            </w:tcBorders>
          </w:tcPr>
          <w:p>
            <w:r>
              <w:rPr>
                <w:sz w:val="22"/>
                <w:szCs w:val="22"/>
              </w:rPr>
              <w:t xml:space="preserve">Dwarf fruit varieties, berry bushes</w:t>
            </w:r>
          </w:p>
        </w:tc>
      </w:tr>
      <w:tr>
        <w:tc>
          <w:tcPr>
            <w:tcBorders>
              <w:top w:val="single" w:color="CCCCCC" w:sz="1"/>
              <w:left w:val="single" w:color="CCCCCC" w:sz="1"/>
              <w:bottom w:val="single" w:color="CCCCCC" w:sz="1"/>
              <w:right w:val="single" w:color="CCCCCC" w:sz="1"/>
            </w:tcBorders>
          </w:tcPr>
          <w:p>
            <w:r>
              <w:rPr>
                <w:sz w:val="22"/>
                <w:szCs w:val="22"/>
              </w:rPr>
              <w:t xml:space="preserve">Cluster Footprint</w:t>
            </w:r>
          </w:p>
        </w:tc>
        <w:tc>
          <w:tcPr>
            <w:tcBorders>
              <w:top w:val="single" w:color="CCCCCC" w:sz="1"/>
              <w:left w:val="single" w:color="CCCCCC" w:sz="1"/>
              <w:bottom w:val="single" w:color="CCCCCC" w:sz="1"/>
              <w:right w:val="single" w:color="CCCCCC" w:sz="1"/>
            </w:tcBorders>
          </w:tcPr>
          <w:p>
            <w:r>
              <w:rPr>
                <w:sz w:val="22"/>
                <w:szCs w:val="22"/>
              </w:rPr>
              <w:t xml:space="preserve">~1.5 acres</w:t>
            </w:r>
          </w:p>
        </w:tc>
        <w:tc>
          <w:tcPr>
            <w:tcBorders>
              <w:top w:val="single" w:color="CCCCCC" w:sz="1"/>
              <w:left w:val="single" w:color="CCCCCC" w:sz="1"/>
              <w:bottom w:val="single" w:color="CCCCCC" w:sz="1"/>
              <w:right w:val="single" w:color="CCCCCC" w:sz="1"/>
            </w:tcBorders>
          </w:tcPr>
          <w:p>
            <w:r>
              <w:rPr>
                <w:sz w:val="22"/>
                <w:szCs w:val="22"/>
              </w:rPr>
              <w:t xml:space="preserve">Preserves mature trees between homes</w:t>
            </w:r>
          </w:p>
        </w:tc>
      </w:tr>
    </w:tbl>
    <w:p>
      <w:pPr>
        <w:pStyle w:val="Heading2"/>
        <w:spacing w:before="300" w:after="200"/>
      </w:pPr>
      <w:r>
        <w:rPr>
          <w:b/>
          <w:bCs/>
          <w:sz w:val="28"/>
          <w:szCs w:val="28"/>
        </w:rPr>
        <w:t xml:space="preserve">1.3 The Triple Trio Housing Unit</w:t>
      </w:r>
    </w:p>
    <w:p>
      <w:pPr>
        <w:spacing w:after="200"/>
      </w:pPr>
      <w:r>
        <w:rPr>
          <w:sz w:val="24"/>
          <w:szCs w:val="24"/>
        </w:rPr>
        <w:t xml:space="preserve">Each home consists of three 40-foot shipping containers configured to create a 960 square foot, 3-bedroom, 2-bathroom residence. This modular approach offers rapid construction, cost predictability, and a unique aesthetic that appeals to environmentally-conscious residents.</w:t>
      </w:r>
    </w:p>
    <w:p>
      <w:pPr>
        <w:spacing w:after="200"/>
      </w:pPr>
      <w:r>
        <w:rPr>
          <w:b/>
          <w:bCs/>
          <w:sz w:val="24"/>
          <w:szCs w:val="24"/>
        </w:rPr>
        <w:t xml:space="preserve">Unit Specifications:</w:t>
      </w:r>
    </w:p>
    <w:p>
      <w:pPr>
        <w:pStyle w:val="ListParagraph"/>
        <w:numPr>
          <w:ilvl w:val="0"/>
          <w:numId w:val="1"/>
        </w:numPr>
        <w:spacing w:after="100"/>
      </w:pPr>
      <w:r>
        <w:rPr>
          <w:sz w:val="24"/>
          <w:szCs w:val="24"/>
        </w:rPr>
        <w:t xml:space="preserve">Configuration: 3 containers arranged in parallel (32' x 30' footprint)</w:t>
      </w:r>
    </w:p>
    <w:p>
      <w:pPr>
        <w:pStyle w:val="ListParagraph"/>
        <w:numPr>
          <w:ilvl w:val="0"/>
          <w:numId w:val="1"/>
        </w:numPr>
        <w:spacing w:after="100"/>
      </w:pPr>
      <w:r>
        <w:rPr>
          <w:sz w:val="24"/>
          <w:szCs w:val="24"/>
        </w:rPr>
        <w:t xml:space="preserve">Bedrooms: 3 (primary: 12'x10', secondary bedrooms: 10'x8' each)</w:t>
      </w:r>
    </w:p>
    <w:p>
      <w:pPr>
        <w:pStyle w:val="ListParagraph"/>
        <w:numPr>
          <w:ilvl w:val="0"/>
          <w:numId w:val="1"/>
        </w:numPr>
        <w:spacing w:after="100"/>
      </w:pPr>
      <w:r>
        <w:rPr>
          <w:sz w:val="24"/>
          <w:szCs w:val="24"/>
        </w:rPr>
        <w:t xml:space="preserve">Bathrooms: 2 full (one en-suite to primary)</w:t>
      </w:r>
    </w:p>
    <w:p>
      <w:pPr>
        <w:pStyle w:val="ListParagraph"/>
        <w:numPr>
          <w:ilvl w:val="0"/>
          <w:numId w:val="1"/>
        </w:numPr>
        <w:spacing w:after="100"/>
      </w:pPr>
      <w:r>
        <w:rPr>
          <w:sz w:val="24"/>
          <w:szCs w:val="24"/>
        </w:rPr>
        <w:t xml:space="preserve">Kitchen: Full galley with Energy Star appliances</w:t>
      </w:r>
    </w:p>
    <w:p>
      <w:pPr>
        <w:pStyle w:val="ListParagraph"/>
        <w:numPr>
          <w:ilvl w:val="0"/>
          <w:numId w:val="1"/>
        </w:numPr>
        <w:spacing w:after="100"/>
      </w:pPr>
      <w:r>
        <w:rPr>
          <w:sz w:val="24"/>
          <w:szCs w:val="24"/>
        </w:rPr>
        <w:t xml:space="preserve">Living Area: Open concept living/dining</w:t>
      </w:r>
    </w:p>
    <w:p>
      <w:pPr>
        <w:pStyle w:val="ListParagraph"/>
        <w:numPr>
          <w:ilvl w:val="0"/>
          <w:numId w:val="1"/>
        </w:numPr>
        <w:spacing w:after="100"/>
      </w:pPr>
      <w:r>
        <w:rPr>
          <w:sz w:val="24"/>
          <w:szCs w:val="24"/>
        </w:rPr>
        <w:t xml:space="preserve">Solar: Roof-mounted 8-10 kW array</w:t>
      </w:r>
    </w:p>
    <w:p>
      <w:pPr>
        <w:pStyle w:val="ListParagraph"/>
        <w:numPr>
          <w:ilvl w:val="0"/>
          <w:numId w:val="1"/>
        </w:numPr>
        <w:spacing w:after="100"/>
      </w:pPr>
      <w:r>
        <w:rPr>
          <w:sz w:val="24"/>
          <w:szCs w:val="24"/>
        </w:rPr>
        <w:t xml:space="preserve">HVAC: Mini-split heat pump system</w:t>
      </w:r>
    </w:p>
    <w:p>
      <w:pPr>
        <w:pStyle w:val="ListParagraph"/>
        <w:numPr>
          <w:ilvl w:val="0"/>
          <w:numId w:val="1"/>
        </w:numPr>
        <w:spacing w:after="100"/>
      </w:pPr>
      <w:r>
        <w:rPr>
          <w:sz w:val="24"/>
          <w:szCs w:val="24"/>
        </w:rPr>
        <w:t xml:space="preserve">Estimated Unit Cost: $85,000 (containers + full fitout)</w:t>
      </w:r>
    </w:p>
    <w:p>
      <w:pPr>
        <w:pStyle w:val="Heading2"/>
        <w:spacing w:before="300" w:after="200"/>
      </w:pPr>
      <w:r>
        <w:rPr>
          <w:b/>
          <w:bCs/>
          <w:sz w:val="28"/>
          <w:szCs w:val="28"/>
        </w:rPr>
        <w:t xml:space="preserve">1.4 Design Principles</w:t>
      </w:r>
    </w:p>
    <w:p>
      <w:pPr>
        <w:spacing w:after="200"/>
      </w:pPr>
      <w:r>
        <w:rPr>
          <w:sz w:val="24"/>
          <w:szCs w:val="24"/>
        </w:rPr>
        <w:t xml:space="preserve">The cluster layout follows several key design principles:</w:t>
      </w:r>
    </w:p>
    <w:p>
      <w:pPr>
        <w:pStyle w:val="ListParagraph"/>
        <w:numPr>
          <w:ilvl w:val="0"/>
          <w:numId w:val="1"/>
        </w:numPr>
        <w:spacing w:after="100"/>
      </w:pPr>
      <w:r>
        <w:rPr>
          <w:sz w:val="24"/>
          <w:szCs w:val="24"/>
        </w:rPr>
        <w:t xml:space="preserve">Inward Orientation: Homes face the central commons, creating eyes on shared spaces</w:t>
      </w:r>
    </w:p>
    <w:p>
      <w:pPr>
        <w:pStyle w:val="ListParagraph"/>
        <w:numPr>
          <w:ilvl w:val="0"/>
          <w:numId w:val="1"/>
        </w:numPr>
        <w:spacing w:after="100"/>
      </w:pPr>
      <w:r>
        <w:rPr>
          <w:sz w:val="24"/>
          <w:szCs w:val="24"/>
        </w:rPr>
        <w:t xml:space="preserve">Cars at Perimeter: Parking courts at cluster edges keep the interior pedestrian-focused</w:t>
      </w:r>
    </w:p>
    <w:p>
      <w:pPr>
        <w:pStyle w:val="ListParagraph"/>
        <w:numPr>
          <w:ilvl w:val="0"/>
          <w:numId w:val="1"/>
        </w:numPr>
        <w:spacing w:after="100"/>
      </w:pPr>
      <w:r>
        <w:rPr>
          <w:sz w:val="24"/>
          <w:szCs w:val="24"/>
        </w:rPr>
        <w:t xml:space="preserve">Central Aquaponics: The food production container is equidistant from all homes</w:t>
      </w:r>
    </w:p>
    <w:p>
      <w:pPr>
        <w:pStyle w:val="ListParagraph"/>
        <w:numPr>
          <w:ilvl w:val="0"/>
          <w:numId w:val="1"/>
        </w:numPr>
        <w:spacing w:after="100"/>
      </w:pPr>
      <w:r>
        <w:rPr>
          <w:sz w:val="24"/>
          <w:szCs w:val="24"/>
        </w:rPr>
        <w:t xml:space="preserve">Preserved Canopy: Mature trees between homes for privacy and shade</w:t>
      </w:r>
    </w:p>
    <w:p>
      <w:pPr>
        <w:pStyle w:val="ListParagraph"/>
        <w:numPr>
          <w:ilvl w:val="0"/>
          <w:numId w:val="1"/>
        </w:numPr>
        <w:spacing w:after="100"/>
      </w:pPr>
      <w:r>
        <w:rPr>
          <w:sz w:val="24"/>
          <w:szCs w:val="24"/>
        </w:rPr>
        <w:t xml:space="preserve">200-Foot Rule: All homes within 200 feet of shared gathering spaces</w:t>
      </w:r>
    </w:p>
    <w:p>
      <w:r>
        <w:br w:type="page"/>
      </w:r>
    </w:p>
    <w:p>
      <w:pPr>
        <w:pStyle w:val="Heading1"/>
        <w:spacing w:before="400" w:after="200"/>
      </w:pPr>
      <w:r>
        <w:rPr>
          <w:b/>
          <w:bCs/>
          <w:sz w:val="36"/>
          <w:szCs w:val="36"/>
        </w:rPr>
        <w:t xml:space="preserve">Section 2: Food Production Model</w:t>
      </w:r>
    </w:p>
    <w:p>
      <w:pPr>
        <w:pStyle w:val="Heading2"/>
        <w:spacing w:before="300" w:after="200"/>
      </w:pPr>
      <w:r>
        <w:rPr>
          <w:b/>
          <w:bCs/>
          <w:sz w:val="28"/>
          <w:szCs w:val="28"/>
        </w:rPr>
        <w:t xml:space="preserve">2.1 Integrated Food Systems Overview</w:t>
      </w:r>
    </w:p>
    <w:p>
      <w:pPr>
        <w:spacing w:after="200"/>
      </w:pPr>
      <w:r>
        <w:rPr>
          <w:sz w:val="24"/>
          <w:szCs w:val="24"/>
        </w:rPr>
        <w:t xml:space="preserve">Town Woods integrates three complementary food production systems that together provide year-round nutrition for residents while generating significant cost savings and potential revenue.</w:t>
      </w:r>
    </w:p>
    <w:p>
      <w:pPr>
        <w:pStyle w:val="Heading3"/>
        <w:spacing w:before="300" w:after="200"/>
      </w:pPr>
      <w:r>
        <w:rPr>
          <w:b/>
          <w:bCs/>
          <w:sz w:val="24"/>
          <w:szCs w:val="24"/>
        </w:rPr>
        <w:t xml:space="preserve">2.2 Aquaponics Production</w:t>
      </w:r>
    </w:p>
    <w:p>
      <w:pPr>
        <w:spacing w:after="200"/>
      </w:pPr>
      <w:r>
        <w:rPr>
          <w:sz w:val="24"/>
          <w:szCs w:val="24"/>
        </w:rPr>
        <w:t xml:space="preserve">Seven 40-foot aquaponics containers form the backbone of the food system, producing protein (rainbow trout) and leafy greens year-round in a controlled environment.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Borders>
              <w:top w:val="single" w:color="CCCCCC" w:sz="1"/>
              <w:left w:val="single" w:color="CCCCCC" w:sz="1"/>
              <w:bottom w:val="single" w:color="CCCCCC" w:sz="1"/>
              <w:right w:val="single" w:color="CCCCCC" w:sz="1"/>
            </w:tcBorders>
            <w:shd w:fill="059669" w:val="clear"/>
          </w:tcPr>
          <w:p>
            <w:r>
              <w:rPr>
                <w:b/>
                <w:bCs/>
                <w:color w:val="FFFFFF"/>
                <w:sz w:val="22"/>
                <w:szCs w:val="22"/>
              </w:rPr>
              <w:t xml:space="preserve">Product</w:t>
            </w:r>
          </w:p>
        </w:tc>
        <w:tc>
          <w:tcPr>
            <w:tcBorders>
              <w:top w:val="single" w:color="CCCCCC" w:sz="1"/>
              <w:left w:val="single" w:color="CCCCCC" w:sz="1"/>
              <w:bottom w:val="single" w:color="CCCCCC" w:sz="1"/>
              <w:right w:val="single" w:color="CCCCCC" w:sz="1"/>
            </w:tcBorders>
            <w:shd w:fill="059669" w:val="clear"/>
          </w:tcPr>
          <w:p>
            <w:r>
              <w:rPr>
                <w:b/>
                <w:bCs/>
                <w:color w:val="FFFFFF"/>
                <w:sz w:val="22"/>
                <w:szCs w:val="22"/>
              </w:rPr>
              <w:t xml:space="preserve">Per Container</w:t>
            </w:r>
          </w:p>
        </w:tc>
        <w:tc>
          <w:tcPr>
            <w:tcBorders>
              <w:top w:val="single" w:color="CCCCCC" w:sz="1"/>
              <w:left w:val="single" w:color="CCCCCC" w:sz="1"/>
              <w:bottom w:val="single" w:color="CCCCCC" w:sz="1"/>
              <w:right w:val="single" w:color="CCCCCC" w:sz="1"/>
            </w:tcBorders>
            <w:shd w:fill="059669" w:val="clear"/>
          </w:tcPr>
          <w:p>
            <w:r>
              <w:rPr>
                <w:b/>
                <w:bCs/>
                <w:color w:val="FFFFFF"/>
                <w:sz w:val="22"/>
                <w:szCs w:val="22"/>
              </w:rPr>
              <w:t xml:space="preserve">Total (x7)</w:t>
            </w:r>
          </w:p>
        </w:tc>
        <w:tc>
          <w:tcPr>
            <w:tcBorders>
              <w:top w:val="single" w:color="CCCCCC" w:sz="1"/>
              <w:left w:val="single" w:color="CCCCCC" w:sz="1"/>
              <w:bottom w:val="single" w:color="CCCCCC" w:sz="1"/>
              <w:right w:val="single" w:color="CCCCCC" w:sz="1"/>
            </w:tcBorders>
            <w:shd w:fill="059669" w:val="clear"/>
          </w:tcPr>
          <w:p>
            <w:r>
              <w:rPr>
                <w:b/>
                <w:bCs/>
                <w:color w:val="FFFFFF"/>
                <w:sz w:val="22"/>
                <w:szCs w:val="22"/>
              </w:rPr>
              <w:t xml:space="preserve">Market Value</w:t>
            </w:r>
          </w:p>
        </w:tc>
      </w:tr>
      <w:tr>
        <w:tc>
          <w:tcPr>
            <w:tcBorders>
              <w:top w:val="single" w:color="CCCCCC" w:sz="1"/>
              <w:left w:val="single" w:color="CCCCCC" w:sz="1"/>
              <w:bottom w:val="single" w:color="CCCCCC" w:sz="1"/>
              <w:right w:val="single" w:color="CCCCCC" w:sz="1"/>
            </w:tcBorders>
          </w:tcPr>
          <w:p>
            <w:r>
              <w:rPr>
                <w:sz w:val="22"/>
                <w:szCs w:val="22"/>
              </w:rPr>
              <w:t xml:space="preserve">Rainbow Trout</w:t>
            </w:r>
          </w:p>
        </w:tc>
        <w:tc>
          <w:tcPr>
            <w:tcBorders>
              <w:top w:val="single" w:color="CCCCCC" w:sz="1"/>
              <w:left w:val="single" w:color="CCCCCC" w:sz="1"/>
              <w:bottom w:val="single" w:color="CCCCCC" w:sz="1"/>
              <w:right w:val="single" w:color="CCCCCC" w:sz="1"/>
            </w:tcBorders>
          </w:tcPr>
          <w:p>
            <w:r>
              <w:rPr>
                <w:sz w:val="22"/>
                <w:szCs w:val="22"/>
              </w:rPr>
              <w:t xml:space="preserve">300 lbs/year</w:t>
            </w:r>
          </w:p>
        </w:tc>
        <w:tc>
          <w:tcPr>
            <w:tcBorders>
              <w:top w:val="single" w:color="CCCCCC" w:sz="1"/>
              <w:left w:val="single" w:color="CCCCCC" w:sz="1"/>
              <w:bottom w:val="single" w:color="CCCCCC" w:sz="1"/>
              <w:right w:val="single" w:color="CCCCCC" w:sz="1"/>
            </w:tcBorders>
          </w:tcPr>
          <w:p>
            <w:r>
              <w:rPr>
                <w:sz w:val="22"/>
                <w:szCs w:val="22"/>
              </w:rPr>
              <w:t xml:space="preserve">2,100 lbs</w:t>
            </w:r>
          </w:p>
        </w:tc>
        <w:tc>
          <w:tcPr>
            <w:tcBorders>
              <w:top w:val="single" w:color="CCCCCC" w:sz="1"/>
              <w:left w:val="single" w:color="CCCCCC" w:sz="1"/>
              <w:bottom w:val="single" w:color="CCCCCC" w:sz="1"/>
              <w:right w:val="single" w:color="CCCCCC" w:sz="1"/>
            </w:tcBorders>
          </w:tcPr>
          <w:p>
            <w:r>
              <w:rPr>
                <w:sz w:val="22"/>
                <w:szCs w:val="22"/>
              </w:rPr>
              <w:t xml:space="preserve">$17,850</w:t>
            </w:r>
          </w:p>
        </w:tc>
      </w:tr>
      <w:tr>
        <w:tc>
          <w:tcPr>
            <w:tcBorders>
              <w:top w:val="single" w:color="CCCCCC" w:sz="1"/>
              <w:left w:val="single" w:color="CCCCCC" w:sz="1"/>
              <w:bottom w:val="single" w:color="CCCCCC" w:sz="1"/>
              <w:right w:val="single" w:color="CCCCCC" w:sz="1"/>
            </w:tcBorders>
          </w:tcPr>
          <w:p>
            <w:r>
              <w:rPr>
                <w:sz w:val="22"/>
                <w:szCs w:val="22"/>
              </w:rPr>
              <w:t xml:space="preserve">Leafy Greens</w:t>
            </w:r>
          </w:p>
        </w:tc>
        <w:tc>
          <w:tcPr>
            <w:tcBorders>
              <w:top w:val="single" w:color="CCCCCC" w:sz="1"/>
              <w:left w:val="single" w:color="CCCCCC" w:sz="1"/>
              <w:bottom w:val="single" w:color="CCCCCC" w:sz="1"/>
              <w:right w:val="single" w:color="CCCCCC" w:sz="1"/>
            </w:tcBorders>
          </w:tcPr>
          <w:p>
            <w:r>
              <w:rPr>
                <w:sz w:val="22"/>
                <w:szCs w:val="22"/>
              </w:rPr>
              <w:t xml:space="preserve">2,100 lbs/year</w:t>
            </w:r>
          </w:p>
        </w:tc>
        <w:tc>
          <w:tcPr>
            <w:tcBorders>
              <w:top w:val="single" w:color="CCCCCC" w:sz="1"/>
              <w:left w:val="single" w:color="CCCCCC" w:sz="1"/>
              <w:bottom w:val="single" w:color="CCCCCC" w:sz="1"/>
              <w:right w:val="single" w:color="CCCCCC" w:sz="1"/>
            </w:tcBorders>
          </w:tcPr>
          <w:p>
            <w:r>
              <w:rPr>
                <w:sz w:val="22"/>
                <w:szCs w:val="22"/>
              </w:rPr>
              <w:t xml:space="preserve">14,700 lbs</w:t>
            </w:r>
          </w:p>
        </w:tc>
        <w:tc>
          <w:tcPr>
            <w:tcBorders>
              <w:top w:val="single" w:color="CCCCCC" w:sz="1"/>
              <w:left w:val="single" w:color="CCCCCC" w:sz="1"/>
              <w:bottom w:val="single" w:color="CCCCCC" w:sz="1"/>
              <w:right w:val="single" w:color="CCCCCC" w:sz="1"/>
            </w:tcBorders>
          </w:tcPr>
          <w:p>
            <w:r>
              <w:rPr>
                <w:sz w:val="22"/>
                <w:szCs w:val="22"/>
              </w:rPr>
              <w:t xml:space="preserve">$44,100</w:t>
            </w:r>
          </w:p>
        </w:tc>
      </w:tr>
      <w:tr>
        <w:tc>
          <w:tcPr>
            <w:tcBorders>
              <w:top w:val="single" w:color="CCCCCC" w:sz="1"/>
              <w:left w:val="single" w:color="CCCCCC" w:sz="1"/>
              <w:bottom w:val="single" w:color="CCCCCC" w:sz="1"/>
              <w:right w:val="single" w:color="CCCCCC" w:sz="1"/>
            </w:tcBorders>
          </w:tcPr>
          <w:p>
            <w:r>
              <w:rPr>
                <w:sz w:val="22"/>
                <w:szCs w:val="22"/>
              </w:rPr>
              <w:t xml:space="preserve">Herbs</w:t>
            </w:r>
          </w:p>
        </w:tc>
        <w:tc>
          <w:tcPr>
            <w:tcBorders>
              <w:top w:val="single" w:color="CCCCCC" w:sz="1"/>
              <w:left w:val="single" w:color="CCCCCC" w:sz="1"/>
              <w:bottom w:val="single" w:color="CCCCCC" w:sz="1"/>
              <w:right w:val="single" w:color="CCCCCC" w:sz="1"/>
            </w:tcBorders>
          </w:tcPr>
          <w:p>
            <w:r>
              <w:rPr>
                <w:sz w:val="22"/>
                <w:szCs w:val="22"/>
              </w:rPr>
              <w:t xml:space="preserve">150 lbs/year</w:t>
            </w:r>
          </w:p>
        </w:tc>
        <w:tc>
          <w:tcPr>
            <w:tcBorders>
              <w:top w:val="single" w:color="CCCCCC" w:sz="1"/>
              <w:left w:val="single" w:color="CCCCCC" w:sz="1"/>
              <w:bottom w:val="single" w:color="CCCCCC" w:sz="1"/>
              <w:right w:val="single" w:color="CCCCCC" w:sz="1"/>
            </w:tcBorders>
          </w:tcPr>
          <w:p>
            <w:r>
              <w:rPr>
                <w:sz w:val="22"/>
                <w:szCs w:val="22"/>
              </w:rPr>
              <w:t xml:space="preserve">1,050 lbs</w:t>
            </w:r>
          </w:p>
        </w:tc>
        <w:tc>
          <w:tcPr>
            <w:tcBorders>
              <w:top w:val="single" w:color="CCCCCC" w:sz="1"/>
              <w:left w:val="single" w:color="CCCCCC" w:sz="1"/>
              <w:bottom w:val="single" w:color="CCCCCC" w:sz="1"/>
              <w:right w:val="single" w:color="CCCCCC" w:sz="1"/>
            </w:tcBorders>
          </w:tcPr>
          <w:p>
            <w:r>
              <w:rPr>
                <w:sz w:val="22"/>
                <w:szCs w:val="22"/>
              </w:rPr>
              <w:t xml:space="preserve">$6,300</w:t>
            </w:r>
          </w:p>
        </w:tc>
      </w:tr>
      <w:tr>
        <w:tc>
          <w:tcPr>
            <w:tcBorders>
              <w:top w:val="single" w:color="CCCCCC" w:sz="1"/>
              <w:left w:val="single" w:color="CCCCCC" w:sz="1"/>
              <w:bottom w:val="single" w:color="CCCCCC" w:sz="1"/>
              <w:right w:val="single" w:color="CCCCCC" w:sz="1"/>
            </w:tcBorders>
            <w:shd w:fill="E8F4F8" w:val="clear"/>
          </w:tcPr>
          <w:p>
            <w:r>
              <w:rPr>
                <w:b/>
                <w:bCs/>
                <w:sz w:val="22"/>
                <w:szCs w:val="22"/>
              </w:rPr>
              <w:t xml:space="preserve">TOTAL</w:t>
            </w:r>
          </w:p>
        </w:tc>
        <w:tc>
          <w:tcPr>
            <w:tcBorders>
              <w:top w:val="single" w:color="CCCCCC" w:sz="1"/>
              <w:left w:val="single" w:color="CCCCCC" w:sz="1"/>
              <w:bottom w:val="single" w:color="CCCCCC" w:sz="1"/>
              <w:right w:val="single" w:color="CCCCCC" w:sz="1"/>
            </w:tcBorders>
            <w:shd w:fill="E8F4F8" w:val="clear"/>
          </w:tcPr>
          <w:p>
            <w:r>
              <w:rPr>
                <w:sz w:val="22"/>
                <w:szCs w:val="22"/>
              </w:rPr>
              <w:t xml:space="preserve"/>
            </w:r>
          </w:p>
        </w:tc>
        <w:tc>
          <w:tcPr>
            <w:tcBorders>
              <w:top w:val="single" w:color="CCCCCC" w:sz="1"/>
              <w:left w:val="single" w:color="CCCCCC" w:sz="1"/>
              <w:bottom w:val="single" w:color="CCCCCC" w:sz="1"/>
              <w:right w:val="single" w:color="CCCCCC" w:sz="1"/>
            </w:tcBorders>
            <w:shd w:fill="E8F4F8" w:val="clear"/>
          </w:tcPr>
          <w:p>
            <w:r>
              <w:rPr>
                <w:b/>
                <w:bCs/>
                <w:sz w:val="22"/>
                <w:szCs w:val="22"/>
              </w:rPr>
              <w:t xml:space="preserve">17,850 lbs</w:t>
            </w:r>
          </w:p>
        </w:tc>
        <w:tc>
          <w:tcPr>
            <w:tcBorders>
              <w:top w:val="single" w:color="CCCCCC" w:sz="1"/>
              <w:left w:val="single" w:color="CCCCCC" w:sz="1"/>
              <w:bottom w:val="single" w:color="CCCCCC" w:sz="1"/>
              <w:right w:val="single" w:color="CCCCCC" w:sz="1"/>
            </w:tcBorders>
            <w:shd w:fill="E8F4F8" w:val="clear"/>
          </w:tcPr>
          <w:p>
            <w:r>
              <w:rPr>
                <w:b/>
                <w:bCs/>
                <w:sz w:val="22"/>
                <w:szCs w:val="22"/>
              </w:rPr>
              <w:t xml:space="preserve">$68,250</w:t>
            </w:r>
          </w:p>
        </w:tc>
      </w:tr>
    </w:tbl>
    <w:p>
      <w:pPr>
        <w:spacing w:after="200"/>
      </w:pPr>
      <w:r>
        <w:rPr>
          <w:sz w:val="24"/>
          <w:szCs w:val="24"/>
        </w:rPr>
        <w:t xml:space="preserve">Annual operating cost for aquaponics: ~$84,000 ($12,000/container). Net community benefit: food value to residents plus education and demonstration value.</w:t>
      </w:r>
    </w:p>
    <w:p>
      <w:pPr>
        <w:pStyle w:val="Heading3"/>
        <w:spacing w:before="300" w:after="200"/>
      </w:pPr>
      <w:r>
        <w:rPr>
          <w:b/>
          <w:bCs/>
          <w:sz w:val="24"/>
          <w:szCs w:val="24"/>
        </w:rPr>
        <w:t xml:space="preserve">2.3 Food Forest &amp; Permaculture</w:t>
      </w:r>
    </w:p>
    <w:p>
      <w:pPr>
        <w:spacing w:after="200"/>
      </w:pPr>
      <w:r>
        <w:rPr>
          <w:sz w:val="24"/>
          <w:szCs w:val="24"/>
        </w:rPr>
        <w:t xml:space="preserve">A 12-acre food forest provides perennial fruits, nuts, and vegetables with minimal ongoing labor once established. Production increases annually as plants mature.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Borders>
              <w:top w:val="single" w:color="CCCCCC" w:sz="1"/>
              <w:left w:val="single" w:color="CCCCCC" w:sz="1"/>
              <w:bottom w:val="single" w:color="CCCCCC" w:sz="1"/>
              <w:right w:val="single" w:color="CCCCCC" w:sz="1"/>
            </w:tcBorders>
            <w:shd w:fill="166534" w:val="clear"/>
          </w:tcPr>
          <w:p>
            <w:r>
              <w:rPr>
                <w:b/>
                <w:bCs/>
                <w:color w:val="FFFFFF"/>
                <w:sz w:val="22"/>
                <w:szCs w:val="22"/>
              </w:rPr>
              <w:t xml:space="preserve">Year</w:t>
            </w:r>
          </w:p>
        </w:tc>
        <w:tc>
          <w:tcPr>
            <w:tcBorders>
              <w:top w:val="single" w:color="CCCCCC" w:sz="1"/>
              <w:left w:val="single" w:color="CCCCCC" w:sz="1"/>
              <w:bottom w:val="single" w:color="CCCCCC" w:sz="1"/>
              <w:right w:val="single" w:color="CCCCCC" w:sz="1"/>
            </w:tcBorders>
            <w:shd w:fill="166534" w:val="clear"/>
          </w:tcPr>
          <w:p>
            <w:r>
              <w:rPr>
                <w:b/>
                <w:bCs/>
                <w:color w:val="FFFFFF"/>
                <w:sz w:val="22"/>
                <w:szCs w:val="22"/>
              </w:rPr>
              <w:t xml:space="preserve">Yield (lbs)</w:t>
            </w:r>
          </w:p>
        </w:tc>
        <w:tc>
          <w:tcPr>
            <w:tcBorders>
              <w:top w:val="single" w:color="CCCCCC" w:sz="1"/>
              <w:left w:val="single" w:color="CCCCCC" w:sz="1"/>
              <w:bottom w:val="single" w:color="CCCCCC" w:sz="1"/>
              <w:right w:val="single" w:color="CCCCCC" w:sz="1"/>
            </w:tcBorders>
            <w:shd w:fill="166534" w:val="clear"/>
          </w:tcPr>
          <w:p>
            <w:r>
              <w:rPr>
                <w:b/>
                <w:bCs/>
                <w:color w:val="FFFFFF"/>
                <w:sz w:val="22"/>
                <w:szCs w:val="22"/>
              </w:rPr>
              <w:t xml:space="preserve">Market Value</w:t>
            </w:r>
          </w:p>
        </w:tc>
        <w:tc>
          <w:tcPr>
            <w:tcBorders>
              <w:top w:val="single" w:color="CCCCCC" w:sz="1"/>
              <w:left w:val="single" w:color="CCCCCC" w:sz="1"/>
              <w:bottom w:val="single" w:color="CCCCCC" w:sz="1"/>
              <w:right w:val="single" w:color="CCCCCC" w:sz="1"/>
            </w:tcBorders>
            <w:shd w:fill="166534" w:val="clear"/>
          </w:tcPr>
          <w:p>
            <w:r>
              <w:rPr>
                <w:b/>
                <w:bCs/>
                <w:color w:val="FFFFFF"/>
                <w:sz w:val="22"/>
                <w:szCs w:val="22"/>
              </w:rPr>
              <w:t xml:space="preserve">Key Products</w:t>
            </w:r>
          </w:p>
        </w:tc>
      </w:tr>
      <w:tr>
        <w:tc>
          <w:tcPr>
            <w:tcBorders>
              <w:top w:val="single" w:color="CCCCCC" w:sz="1"/>
              <w:left w:val="single" w:color="CCCCCC" w:sz="1"/>
              <w:bottom w:val="single" w:color="CCCCCC" w:sz="1"/>
              <w:right w:val="single" w:color="CCCCCC" w:sz="1"/>
            </w:tcBorders>
          </w:tcPr>
          <w:p>
            <w:r>
              <w:rPr>
                <w:sz w:val="22"/>
                <w:szCs w:val="22"/>
              </w:rPr>
              <w:t xml:space="preserve">Year 1</w:t>
            </w:r>
          </w:p>
        </w:tc>
        <w:tc>
          <w:tcPr>
            <w:tcBorders>
              <w:top w:val="single" w:color="CCCCCC" w:sz="1"/>
              <w:left w:val="single" w:color="CCCCCC" w:sz="1"/>
              <w:bottom w:val="single" w:color="CCCCCC" w:sz="1"/>
              <w:right w:val="single" w:color="CCCCCC" w:sz="1"/>
            </w:tcBorders>
          </w:tcPr>
          <w:p>
            <w:r>
              <w:rPr>
                <w:sz w:val="22"/>
                <w:szCs w:val="22"/>
              </w:rPr>
              <w:t xml:space="preserve">500</w:t>
            </w:r>
          </w:p>
        </w:tc>
        <w:tc>
          <w:tcPr>
            <w:tcBorders>
              <w:top w:val="single" w:color="CCCCCC" w:sz="1"/>
              <w:left w:val="single" w:color="CCCCCC" w:sz="1"/>
              <w:bottom w:val="single" w:color="CCCCCC" w:sz="1"/>
              <w:right w:val="single" w:color="CCCCCC" w:sz="1"/>
            </w:tcBorders>
          </w:tcPr>
          <w:p>
            <w:r>
              <w:rPr>
                <w:sz w:val="22"/>
                <w:szCs w:val="22"/>
              </w:rPr>
              <w:t xml:space="preserve">$1,250</w:t>
            </w:r>
          </w:p>
        </w:tc>
        <w:tc>
          <w:tcPr>
            <w:tcBorders>
              <w:top w:val="single" w:color="CCCCCC" w:sz="1"/>
              <w:left w:val="single" w:color="CCCCCC" w:sz="1"/>
              <w:bottom w:val="single" w:color="CCCCCC" w:sz="1"/>
              <w:right w:val="single" w:color="CCCCCC" w:sz="1"/>
            </w:tcBorders>
          </w:tcPr>
          <w:p>
            <w:r>
              <w:rPr>
                <w:sz w:val="22"/>
                <w:szCs w:val="22"/>
              </w:rPr>
              <w:t xml:space="preserve">Berries, asparagus</w:t>
            </w:r>
          </w:p>
        </w:tc>
      </w:tr>
      <w:tr>
        <w:tc>
          <w:tcPr>
            <w:tcBorders>
              <w:top w:val="single" w:color="CCCCCC" w:sz="1"/>
              <w:left w:val="single" w:color="CCCCCC" w:sz="1"/>
              <w:bottom w:val="single" w:color="CCCCCC" w:sz="1"/>
              <w:right w:val="single" w:color="CCCCCC" w:sz="1"/>
            </w:tcBorders>
          </w:tcPr>
          <w:p>
            <w:r>
              <w:rPr>
                <w:sz w:val="22"/>
                <w:szCs w:val="22"/>
              </w:rPr>
              <w:t xml:space="preserve">Year 3</w:t>
            </w:r>
          </w:p>
        </w:tc>
        <w:tc>
          <w:tcPr>
            <w:tcBorders>
              <w:top w:val="single" w:color="CCCCCC" w:sz="1"/>
              <w:left w:val="single" w:color="CCCCCC" w:sz="1"/>
              <w:bottom w:val="single" w:color="CCCCCC" w:sz="1"/>
              <w:right w:val="single" w:color="CCCCCC" w:sz="1"/>
            </w:tcBorders>
          </w:tcPr>
          <w:p>
            <w:r>
              <w:rPr>
                <w:sz w:val="22"/>
                <w:szCs w:val="22"/>
              </w:rPr>
              <w:t xml:space="preserve">3,500</w:t>
            </w:r>
          </w:p>
        </w:tc>
        <w:tc>
          <w:tcPr>
            <w:tcBorders>
              <w:top w:val="single" w:color="CCCCCC" w:sz="1"/>
              <w:left w:val="single" w:color="CCCCCC" w:sz="1"/>
              <w:bottom w:val="single" w:color="CCCCCC" w:sz="1"/>
              <w:right w:val="single" w:color="CCCCCC" w:sz="1"/>
            </w:tcBorders>
          </w:tcPr>
          <w:p>
            <w:r>
              <w:rPr>
                <w:sz w:val="22"/>
                <w:szCs w:val="22"/>
              </w:rPr>
              <w:t xml:space="preserve">$8,750</w:t>
            </w:r>
          </w:p>
        </w:tc>
        <w:tc>
          <w:tcPr>
            <w:tcBorders>
              <w:top w:val="single" w:color="CCCCCC" w:sz="1"/>
              <w:left w:val="single" w:color="CCCCCC" w:sz="1"/>
              <w:bottom w:val="single" w:color="CCCCCC" w:sz="1"/>
              <w:right w:val="single" w:color="CCCCCC" w:sz="1"/>
            </w:tcBorders>
          </w:tcPr>
          <w:p>
            <w:r>
              <w:rPr>
                <w:sz w:val="22"/>
                <w:szCs w:val="22"/>
              </w:rPr>
              <w:t xml:space="preserve">Add stone fruits, nuts</w:t>
            </w:r>
          </w:p>
        </w:tc>
      </w:tr>
      <w:tr>
        <w:tc>
          <w:tcPr>
            <w:tcBorders>
              <w:top w:val="single" w:color="CCCCCC" w:sz="1"/>
              <w:left w:val="single" w:color="CCCCCC" w:sz="1"/>
              <w:bottom w:val="single" w:color="CCCCCC" w:sz="1"/>
              <w:right w:val="single" w:color="CCCCCC" w:sz="1"/>
            </w:tcBorders>
          </w:tcPr>
          <w:p>
            <w:r>
              <w:rPr>
                <w:sz w:val="22"/>
                <w:szCs w:val="22"/>
              </w:rPr>
              <w:t xml:space="preserve">Year 5</w:t>
            </w:r>
          </w:p>
        </w:tc>
        <w:tc>
          <w:tcPr>
            <w:tcBorders>
              <w:top w:val="single" w:color="CCCCCC" w:sz="1"/>
              <w:left w:val="single" w:color="CCCCCC" w:sz="1"/>
              <w:bottom w:val="single" w:color="CCCCCC" w:sz="1"/>
              <w:right w:val="single" w:color="CCCCCC" w:sz="1"/>
            </w:tcBorders>
          </w:tcPr>
          <w:p>
            <w:r>
              <w:rPr>
                <w:sz w:val="22"/>
                <w:szCs w:val="22"/>
              </w:rPr>
              <w:t xml:space="preserve">8,000</w:t>
            </w:r>
          </w:p>
        </w:tc>
        <w:tc>
          <w:tcPr>
            <w:tcBorders>
              <w:top w:val="single" w:color="CCCCCC" w:sz="1"/>
              <w:left w:val="single" w:color="CCCCCC" w:sz="1"/>
              <w:bottom w:val="single" w:color="CCCCCC" w:sz="1"/>
              <w:right w:val="single" w:color="CCCCCC" w:sz="1"/>
            </w:tcBorders>
          </w:tcPr>
          <w:p>
            <w:r>
              <w:rPr>
                <w:sz w:val="22"/>
                <w:szCs w:val="22"/>
              </w:rPr>
              <w:t xml:space="preserve">$20,000</w:t>
            </w:r>
          </w:p>
        </w:tc>
        <w:tc>
          <w:tcPr>
            <w:tcBorders>
              <w:top w:val="single" w:color="CCCCCC" w:sz="1"/>
              <w:left w:val="single" w:color="CCCCCC" w:sz="1"/>
              <w:bottom w:val="single" w:color="CCCCCC" w:sz="1"/>
              <w:right w:val="single" w:color="CCCCCC" w:sz="1"/>
            </w:tcBorders>
          </w:tcPr>
          <w:p>
            <w:r>
              <w:rPr>
                <w:sz w:val="22"/>
                <w:szCs w:val="22"/>
              </w:rPr>
              <w:t xml:space="preserve">Full variety production</w:t>
            </w:r>
          </w:p>
        </w:tc>
      </w:tr>
      <w:tr>
        <w:tc>
          <w:tcPr>
            <w:tcBorders>
              <w:top w:val="single" w:color="CCCCCC" w:sz="1"/>
              <w:left w:val="single" w:color="CCCCCC" w:sz="1"/>
              <w:bottom w:val="single" w:color="CCCCCC" w:sz="1"/>
              <w:right w:val="single" w:color="CCCCCC" w:sz="1"/>
            </w:tcBorders>
            <w:shd w:fill="E8F4F8" w:val="clear"/>
          </w:tcPr>
          <w:p>
            <w:r>
              <w:rPr>
                <w:b/>
                <w:bCs/>
                <w:sz w:val="22"/>
                <w:szCs w:val="22"/>
              </w:rPr>
              <w:t xml:space="preserve">Year 7+ (mature)</w:t>
            </w:r>
          </w:p>
        </w:tc>
        <w:tc>
          <w:tcPr>
            <w:tcBorders>
              <w:top w:val="single" w:color="CCCCCC" w:sz="1"/>
              <w:left w:val="single" w:color="CCCCCC" w:sz="1"/>
              <w:bottom w:val="single" w:color="CCCCCC" w:sz="1"/>
              <w:right w:val="single" w:color="CCCCCC" w:sz="1"/>
            </w:tcBorders>
            <w:shd w:fill="E8F4F8" w:val="clear"/>
          </w:tcPr>
          <w:p>
            <w:r>
              <w:rPr>
                <w:b/>
                <w:bCs/>
                <w:sz w:val="22"/>
                <w:szCs w:val="22"/>
              </w:rPr>
              <w:t xml:space="preserve">15,000</w:t>
            </w:r>
          </w:p>
        </w:tc>
        <w:tc>
          <w:tcPr>
            <w:tcBorders>
              <w:top w:val="single" w:color="CCCCCC" w:sz="1"/>
              <w:left w:val="single" w:color="CCCCCC" w:sz="1"/>
              <w:bottom w:val="single" w:color="CCCCCC" w:sz="1"/>
              <w:right w:val="single" w:color="CCCCCC" w:sz="1"/>
            </w:tcBorders>
            <w:shd w:fill="E8F4F8" w:val="clear"/>
          </w:tcPr>
          <w:p>
            <w:r>
              <w:rPr>
                <w:b/>
                <w:bCs/>
                <w:sz w:val="22"/>
                <w:szCs w:val="22"/>
              </w:rPr>
              <w:t xml:space="preserve">$37,500</w:t>
            </w:r>
          </w:p>
        </w:tc>
        <w:tc>
          <w:tcPr>
            <w:tcBorders>
              <w:top w:val="single" w:color="CCCCCC" w:sz="1"/>
              <w:left w:val="single" w:color="CCCCCC" w:sz="1"/>
              <w:bottom w:val="single" w:color="CCCCCC" w:sz="1"/>
              <w:right w:val="single" w:color="CCCCCC" w:sz="1"/>
            </w:tcBorders>
            <w:shd w:fill="E8F4F8" w:val="clear"/>
          </w:tcPr>
          <w:p>
            <w:r>
              <w:rPr>
                <w:sz w:val="22"/>
                <w:szCs w:val="22"/>
              </w:rPr>
              <w:t xml:space="preserve">Peak sustainable yield</w:t>
            </w:r>
          </w:p>
        </w:tc>
      </w:tr>
    </w:tbl>
    <w:p>
      <w:pPr>
        <w:spacing w:after="200"/>
      </w:pPr>
      <w:r>
        <w:rPr>
          <w:sz w:val="24"/>
          <w:szCs w:val="24"/>
        </w:rPr>
        <w:t xml:space="preserve">Species mix includes: apples, pears, plums, hazelnuts, chestnuts, elderberry, currants, gooseberries, asparagus, rhubarb, and perennial kale varieties.</w:t>
      </w:r>
    </w:p>
    <w:p>
      <w:pPr>
        <w:pStyle w:val="Heading3"/>
        <w:spacing w:before="300" w:after="200"/>
      </w:pPr>
      <w:r>
        <w:rPr>
          <w:b/>
          <w:bCs/>
          <w:sz w:val="24"/>
          <w:szCs w:val="24"/>
        </w:rPr>
        <w:t xml:space="preserve">2.4 Community Gardens</w:t>
      </w:r>
    </w:p>
    <w:p>
      <w:pPr>
        <w:spacing w:after="200"/>
      </w:pPr>
      <w:r>
        <w:rPr>
          <w:sz w:val="24"/>
          <w:szCs w:val="24"/>
        </w:rPr>
        <w:t xml:space="preserve">98 garden plots (14 per cluster) provide space for household-managed vegetable production, contributing approximately 9,800 pounds of produce annually with a market value of $19,600.</w:t>
      </w:r>
    </w:p>
    <w:p>
      <w:pPr>
        <w:pStyle w:val="Heading2"/>
        <w:spacing w:before="300" w:after="200"/>
      </w:pPr>
      <w:r>
        <w:rPr>
          <w:b/>
          <w:bCs/>
          <w:sz w:val="28"/>
          <w:szCs w:val="28"/>
        </w:rPr>
        <w:t xml:space="preserve">2.5 Weekly Household Food Share</w:t>
      </w:r>
    </w:p>
    <w:p>
      <w:pPr>
        <w:spacing w:after="200"/>
      </w:pPr>
      <w:r>
        <w:rPr>
          <w:sz w:val="24"/>
          <w:szCs w:val="24"/>
        </w:rPr>
        <w:t xml:space="preserve">Each household receives a weekly allocation of community-produced food:</w:t>
      </w:r>
    </w:p>
    <w:p>
      <w:pPr>
        <w:pStyle w:val="ListParagraph"/>
        <w:numPr>
          <w:ilvl w:val="0"/>
          <w:numId w:val="1"/>
        </w:numPr>
        <w:spacing w:after="100"/>
      </w:pPr>
      <w:r>
        <w:rPr>
          <w:sz w:val="24"/>
          <w:szCs w:val="24"/>
        </w:rPr>
        <w:t xml:space="preserve">Rainbow Trout: ~0.8 lbs (fresh or frozen)</w:t>
      </w:r>
    </w:p>
    <w:p>
      <w:pPr>
        <w:pStyle w:val="ListParagraph"/>
        <w:numPr>
          <w:ilvl w:val="0"/>
          <w:numId w:val="1"/>
        </w:numPr>
        <w:spacing w:after="100"/>
      </w:pPr>
      <w:r>
        <w:rPr>
          <w:sz w:val="24"/>
          <w:szCs w:val="24"/>
        </w:rPr>
        <w:t xml:space="preserve">Leafy Greens: ~5.6 lbs (lettuce, spinach, chard, kale)</w:t>
      </w:r>
    </w:p>
    <w:p>
      <w:pPr>
        <w:pStyle w:val="ListParagraph"/>
        <w:numPr>
          <w:ilvl w:val="0"/>
          <w:numId w:val="1"/>
        </w:numPr>
        <w:spacing w:after="100"/>
      </w:pPr>
      <w:r>
        <w:rPr>
          <w:sz w:val="24"/>
          <w:szCs w:val="24"/>
        </w:rPr>
        <w:t xml:space="preserve">Herbs: ~0.4 lbs (basil, cilantro, parsley, etc.)</w:t>
      </w:r>
    </w:p>
    <w:p>
      <w:pPr>
        <w:pStyle w:val="ListParagraph"/>
        <w:numPr>
          <w:ilvl w:val="0"/>
          <w:numId w:val="1"/>
        </w:numPr>
        <w:spacing w:after="100"/>
      </w:pPr>
      <w:r>
        <w:rPr>
          <w:sz w:val="24"/>
          <w:szCs w:val="24"/>
        </w:rPr>
        <w:t xml:space="preserve">Garden Vegetables: ~3.8 lbs (seasonal)</w:t>
      </w:r>
    </w:p>
    <w:p>
      <w:pPr>
        <w:pStyle w:val="ListParagraph"/>
        <w:numPr>
          <w:ilvl w:val="0"/>
          <w:numId w:val="1"/>
        </w:numPr>
        <w:spacing w:after="100"/>
      </w:pPr>
      <w:r>
        <w:rPr>
          <w:sz w:val="24"/>
          <w:szCs w:val="24"/>
        </w:rPr>
        <w:t xml:space="preserve">TOTAL: approximately 10.6 lbs per household per week</w:t>
      </w:r>
    </w:p>
    <w:p>
      <w:pPr>
        <w:spacing w:after="200"/>
      </w:pPr>
      <w:r>
        <w:rPr>
          <w:sz w:val="24"/>
          <w:szCs w:val="24"/>
        </w:rPr>
        <w:t xml:space="preserve">Annual value per household: approximately $1,757 (or ~$146/month in grocery savings).</w:t>
      </w:r>
    </w:p>
    <w:p>
      <w:r>
        <w:br w:type="page"/>
      </w:r>
    </w:p>
    <w:p>
      <w:pPr>
        <w:pStyle w:val="Heading1"/>
        <w:spacing w:before="400" w:after="200"/>
      </w:pPr>
      <w:r>
        <w:rPr>
          <w:b/>
          <w:bCs/>
          <w:sz w:val="36"/>
          <w:szCs w:val="36"/>
        </w:rPr>
        <w:t xml:space="preserve">Section 3: Funding Stack &amp; Capital Structure</w:t>
      </w:r>
    </w:p>
    <w:p>
      <w:pPr>
        <w:pStyle w:val="Heading2"/>
        <w:spacing w:before="300" w:after="200"/>
      </w:pPr>
      <w:r>
        <w:rPr>
          <w:b/>
          <w:bCs/>
          <w:sz w:val="28"/>
          <w:szCs w:val="28"/>
        </w:rPr>
        <w:t xml:space="preserve">3.1 Project Economics Overview</w:t>
      </w:r>
    </w:p>
    <w:p>
      <w:pPr>
        <w:spacing w:after="200"/>
      </w:pPr>
      <w:r>
        <w:rPr>
          <w:sz w:val="24"/>
          <w:szCs w:val="24"/>
        </w:rPr>
        <w:t xml:space="preserve">Total development cost: $9,000,000 over three phases spanning 2026-2029. The funding strategy leverages the agricultural classification to access USDA programs not typically available to housing developments.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Borders>
              <w:top w:val="single" w:color="CCCCCC" w:sz="1"/>
              <w:left w:val="single" w:color="CCCCCC" w:sz="1"/>
              <w:bottom w:val="single" w:color="CCCCCC" w:sz="1"/>
              <w:right w:val="single" w:color="CCCCCC" w:sz="1"/>
            </w:tcBorders>
            <w:shd w:fill="1e3a5f" w:val="clear"/>
          </w:tcPr>
          <w:p>
            <w:r>
              <w:rPr>
                <w:b/>
                <w:bCs/>
                <w:color w:val="FFFFFF"/>
                <w:sz w:val="22"/>
                <w:szCs w:val="22"/>
              </w:rPr>
              <w:t xml:space="preserve">Capital Type</w:t>
            </w:r>
          </w:p>
        </w:tc>
        <w:tc>
          <w:tcPr>
            <w:tcBorders>
              <w:top w:val="single" w:color="CCCCCC" w:sz="1"/>
              <w:left w:val="single" w:color="CCCCCC" w:sz="1"/>
              <w:bottom w:val="single" w:color="CCCCCC" w:sz="1"/>
              <w:right w:val="single" w:color="CCCCCC" w:sz="1"/>
            </w:tcBorders>
            <w:shd w:fill="1e3a5f" w:val="clear"/>
          </w:tcPr>
          <w:p>
            <w:r>
              <w:rPr>
                <w:b/>
                <w:bCs/>
                <w:color w:val="FFFFFF"/>
                <w:sz w:val="22"/>
                <w:szCs w:val="22"/>
              </w:rPr>
              <w:t xml:space="preserve">Amount</w:t>
            </w:r>
          </w:p>
        </w:tc>
        <w:tc>
          <w:tcPr>
            <w:tcBorders>
              <w:top w:val="single" w:color="CCCCCC" w:sz="1"/>
              <w:left w:val="single" w:color="CCCCCC" w:sz="1"/>
              <w:bottom w:val="single" w:color="CCCCCC" w:sz="1"/>
              <w:right w:val="single" w:color="CCCCCC" w:sz="1"/>
            </w:tcBorders>
            <w:shd w:fill="1e3a5f" w:val="clear"/>
          </w:tcPr>
          <w:p>
            <w:r>
              <w:rPr>
                <w:b/>
                <w:bCs/>
                <w:color w:val="FFFFFF"/>
                <w:sz w:val="22"/>
                <w:szCs w:val="22"/>
              </w:rPr>
              <w:t xml:space="preserve">% of Total</w:t>
            </w:r>
          </w:p>
        </w:tc>
        <w:tc>
          <w:tcPr>
            <w:tcBorders>
              <w:top w:val="single" w:color="CCCCCC" w:sz="1"/>
              <w:left w:val="single" w:color="CCCCCC" w:sz="1"/>
              <w:bottom w:val="single" w:color="CCCCCC" w:sz="1"/>
              <w:right w:val="single" w:color="CCCCCC" w:sz="1"/>
            </w:tcBorders>
            <w:shd w:fill="1e3a5f" w:val="clear"/>
          </w:tcPr>
          <w:p>
            <w:r>
              <w:rPr>
                <w:b/>
                <w:bCs/>
                <w:color w:val="FFFFFF"/>
                <w:sz w:val="22"/>
                <w:szCs w:val="22"/>
              </w:rPr>
              <w:t xml:space="preserve">Cost of Capital</w:t>
            </w:r>
          </w:p>
        </w:tc>
      </w:tr>
      <w:tr>
        <w:tc>
          <w:tcPr>
            <w:tcBorders>
              <w:top w:val="single" w:color="CCCCCC" w:sz="1"/>
              <w:left w:val="single" w:color="CCCCCC" w:sz="1"/>
              <w:bottom w:val="single" w:color="CCCCCC" w:sz="1"/>
              <w:right w:val="single" w:color="CCCCCC" w:sz="1"/>
            </w:tcBorders>
          </w:tcPr>
          <w:p>
            <w:r>
              <w:rPr>
                <w:sz w:val="22"/>
                <w:szCs w:val="22"/>
              </w:rPr>
              <w:t xml:space="preserve">Grants &amp; Tax Credits</w:t>
            </w:r>
          </w:p>
        </w:tc>
        <w:tc>
          <w:tcPr>
            <w:tcBorders>
              <w:top w:val="single" w:color="CCCCCC" w:sz="1"/>
              <w:left w:val="single" w:color="CCCCCC" w:sz="1"/>
              <w:bottom w:val="single" w:color="CCCCCC" w:sz="1"/>
              <w:right w:val="single" w:color="CCCCCC" w:sz="1"/>
            </w:tcBorders>
          </w:tcPr>
          <w:p>
            <w:r>
              <w:rPr>
                <w:sz w:val="22"/>
                <w:szCs w:val="22"/>
              </w:rPr>
              <w:t xml:space="preserve">$2,375,000</w:t>
            </w:r>
          </w:p>
        </w:tc>
        <w:tc>
          <w:tcPr>
            <w:tcBorders>
              <w:top w:val="single" w:color="CCCCCC" w:sz="1"/>
              <w:left w:val="single" w:color="CCCCCC" w:sz="1"/>
              <w:bottom w:val="single" w:color="CCCCCC" w:sz="1"/>
              <w:right w:val="single" w:color="CCCCCC" w:sz="1"/>
            </w:tcBorders>
          </w:tcPr>
          <w:p>
            <w:r>
              <w:rPr>
                <w:sz w:val="22"/>
                <w:szCs w:val="22"/>
              </w:rPr>
              <w:t xml:space="preserve">26%</w:t>
            </w:r>
          </w:p>
        </w:tc>
        <w:tc>
          <w:tcPr>
            <w:tcBorders>
              <w:top w:val="single" w:color="CCCCCC" w:sz="1"/>
              <w:left w:val="single" w:color="CCCCCC" w:sz="1"/>
              <w:bottom w:val="single" w:color="CCCCCC" w:sz="1"/>
              <w:right w:val="single" w:color="CCCCCC" w:sz="1"/>
            </w:tcBorders>
          </w:tcPr>
          <w:p>
            <w:r>
              <w:rPr>
                <w:sz w:val="22"/>
                <w:szCs w:val="22"/>
              </w:rPr>
              <w:t xml:space="preserve">0%</w:t>
            </w:r>
          </w:p>
        </w:tc>
      </w:tr>
      <w:tr>
        <w:tc>
          <w:tcPr>
            <w:tcBorders>
              <w:top w:val="single" w:color="CCCCCC" w:sz="1"/>
              <w:left w:val="single" w:color="CCCCCC" w:sz="1"/>
              <w:bottom w:val="single" w:color="CCCCCC" w:sz="1"/>
              <w:right w:val="single" w:color="CCCCCC" w:sz="1"/>
            </w:tcBorders>
          </w:tcPr>
          <w:p>
            <w:r>
              <w:rPr>
                <w:sz w:val="22"/>
                <w:szCs w:val="22"/>
              </w:rPr>
              <w:t xml:space="preserve">Low-Interest Debt</w:t>
            </w:r>
          </w:p>
        </w:tc>
        <w:tc>
          <w:tcPr>
            <w:tcBorders>
              <w:top w:val="single" w:color="CCCCCC" w:sz="1"/>
              <w:left w:val="single" w:color="CCCCCC" w:sz="1"/>
              <w:bottom w:val="single" w:color="CCCCCC" w:sz="1"/>
              <w:right w:val="single" w:color="CCCCCC" w:sz="1"/>
            </w:tcBorders>
          </w:tcPr>
          <w:p>
            <w:r>
              <w:rPr>
                <w:sz w:val="22"/>
                <w:szCs w:val="22"/>
              </w:rPr>
              <w:t xml:space="preserve">$5,625,000</w:t>
            </w:r>
          </w:p>
        </w:tc>
        <w:tc>
          <w:tcPr>
            <w:tcBorders>
              <w:top w:val="single" w:color="CCCCCC" w:sz="1"/>
              <w:left w:val="single" w:color="CCCCCC" w:sz="1"/>
              <w:bottom w:val="single" w:color="CCCCCC" w:sz="1"/>
              <w:right w:val="single" w:color="CCCCCC" w:sz="1"/>
            </w:tcBorders>
          </w:tcPr>
          <w:p>
            <w:r>
              <w:rPr>
                <w:sz w:val="22"/>
                <w:szCs w:val="22"/>
              </w:rPr>
              <w:t xml:space="preserve">63%</w:t>
            </w:r>
          </w:p>
        </w:tc>
        <w:tc>
          <w:tcPr>
            <w:tcBorders>
              <w:top w:val="single" w:color="CCCCCC" w:sz="1"/>
              <w:left w:val="single" w:color="CCCCCC" w:sz="1"/>
              <w:bottom w:val="single" w:color="CCCCCC" w:sz="1"/>
              <w:right w:val="single" w:color="CCCCCC" w:sz="1"/>
            </w:tcBorders>
          </w:tcPr>
          <w:p>
            <w:r>
              <w:rPr>
                <w:sz w:val="22"/>
                <w:szCs w:val="22"/>
              </w:rPr>
              <w:t xml:space="preserve">2.5-4.5%</w:t>
            </w:r>
          </w:p>
        </w:tc>
      </w:tr>
      <w:tr>
        <w:tc>
          <w:tcPr>
            <w:tcBorders>
              <w:top w:val="single" w:color="CCCCCC" w:sz="1"/>
              <w:left w:val="single" w:color="CCCCCC" w:sz="1"/>
              <w:bottom w:val="single" w:color="CCCCCC" w:sz="1"/>
              <w:right w:val="single" w:color="CCCCCC" w:sz="1"/>
            </w:tcBorders>
          </w:tcPr>
          <w:p>
            <w:r>
              <w:rPr>
                <w:sz w:val="22"/>
                <w:szCs w:val="22"/>
              </w:rPr>
              <w:t xml:space="preserve">Equity &amp; Other</w:t>
            </w:r>
          </w:p>
        </w:tc>
        <w:tc>
          <w:tcPr>
            <w:tcBorders>
              <w:top w:val="single" w:color="CCCCCC" w:sz="1"/>
              <w:left w:val="single" w:color="CCCCCC" w:sz="1"/>
              <w:bottom w:val="single" w:color="CCCCCC" w:sz="1"/>
              <w:right w:val="single" w:color="CCCCCC" w:sz="1"/>
            </w:tcBorders>
          </w:tcPr>
          <w:p>
            <w:r>
              <w:rPr>
                <w:sz w:val="22"/>
                <w:szCs w:val="22"/>
              </w:rPr>
              <w:t xml:space="preserve">$1,000,000</w:t>
            </w:r>
          </w:p>
        </w:tc>
        <w:tc>
          <w:tcPr>
            <w:tcBorders>
              <w:top w:val="single" w:color="CCCCCC" w:sz="1"/>
              <w:left w:val="single" w:color="CCCCCC" w:sz="1"/>
              <w:bottom w:val="single" w:color="CCCCCC" w:sz="1"/>
              <w:right w:val="single" w:color="CCCCCC" w:sz="1"/>
            </w:tcBorders>
          </w:tcPr>
          <w:p>
            <w:r>
              <w:rPr>
                <w:sz w:val="22"/>
                <w:szCs w:val="22"/>
              </w:rPr>
              <w:t xml:space="preserve">11%</w:t>
            </w:r>
          </w:p>
        </w:tc>
        <w:tc>
          <w:tcPr>
            <w:tcBorders>
              <w:top w:val="single" w:color="CCCCCC" w:sz="1"/>
              <w:left w:val="single" w:color="CCCCCC" w:sz="1"/>
              <w:bottom w:val="single" w:color="CCCCCC" w:sz="1"/>
              <w:right w:val="single" w:color="CCCCCC" w:sz="1"/>
            </w:tcBorders>
          </w:tcPr>
          <w:p>
            <w:r>
              <w:rPr>
                <w:sz w:val="22"/>
                <w:szCs w:val="22"/>
              </w:rPr>
              <w:t xml:space="preserve">Varies</w:t>
            </w:r>
          </w:p>
        </w:tc>
      </w:tr>
      <w:tr>
        <w:tc>
          <w:tcPr>
            <w:tcBorders>
              <w:top w:val="single" w:color="CCCCCC" w:sz="1"/>
              <w:left w:val="single" w:color="CCCCCC" w:sz="1"/>
              <w:bottom w:val="single" w:color="CCCCCC" w:sz="1"/>
              <w:right w:val="single" w:color="CCCCCC" w:sz="1"/>
            </w:tcBorders>
            <w:shd w:fill="E8F4F8" w:val="clear"/>
          </w:tcPr>
          <w:p>
            <w:r>
              <w:rPr>
                <w:b/>
                <w:bCs/>
                <w:sz w:val="22"/>
                <w:szCs w:val="22"/>
              </w:rPr>
              <w:t xml:space="preserve">TOTAL</w:t>
            </w:r>
          </w:p>
        </w:tc>
        <w:tc>
          <w:tcPr>
            <w:tcBorders>
              <w:top w:val="single" w:color="CCCCCC" w:sz="1"/>
              <w:left w:val="single" w:color="CCCCCC" w:sz="1"/>
              <w:bottom w:val="single" w:color="CCCCCC" w:sz="1"/>
              <w:right w:val="single" w:color="CCCCCC" w:sz="1"/>
            </w:tcBorders>
            <w:shd w:fill="E8F4F8" w:val="clear"/>
          </w:tcPr>
          <w:p>
            <w:r>
              <w:rPr>
                <w:b/>
                <w:bCs/>
                <w:sz w:val="22"/>
                <w:szCs w:val="22"/>
              </w:rPr>
              <w:t xml:space="preserve">$9,000,000</w:t>
            </w:r>
          </w:p>
        </w:tc>
        <w:tc>
          <w:tcPr>
            <w:tcBorders>
              <w:top w:val="single" w:color="CCCCCC" w:sz="1"/>
              <w:left w:val="single" w:color="CCCCCC" w:sz="1"/>
              <w:bottom w:val="single" w:color="CCCCCC" w:sz="1"/>
              <w:right w:val="single" w:color="CCCCCC" w:sz="1"/>
            </w:tcBorders>
            <w:shd w:fill="E8F4F8" w:val="clear"/>
          </w:tcPr>
          <w:p>
            <w:r>
              <w:rPr>
                <w:b/>
                <w:bCs/>
                <w:sz w:val="22"/>
                <w:szCs w:val="22"/>
              </w:rPr>
              <w:t xml:space="preserve">100%</w:t>
            </w:r>
          </w:p>
        </w:tc>
        <w:tc>
          <w:tcPr>
            <w:tcBorders>
              <w:top w:val="single" w:color="CCCCCC" w:sz="1"/>
              <w:left w:val="single" w:color="CCCCCC" w:sz="1"/>
              <w:bottom w:val="single" w:color="CCCCCC" w:sz="1"/>
              <w:right w:val="single" w:color="CCCCCC" w:sz="1"/>
            </w:tcBorders>
            <w:shd w:fill="E8F4F8" w:val="clear"/>
          </w:tcPr>
          <w:p>
            <w:r>
              <w:rPr>
                <w:sz w:val="22"/>
                <w:szCs w:val="22"/>
              </w:rPr>
              <w:t xml:space="preserve"/>
            </w:r>
          </w:p>
        </w:tc>
      </w:tr>
    </w:tbl>
    <w:p>
      <w:pPr>
        <w:pStyle w:val="Heading2"/>
        <w:spacing w:before="300" w:after="200"/>
      </w:pPr>
      <w:r>
        <w:rPr>
          <w:b/>
          <w:bCs/>
          <w:sz w:val="28"/>
          <w:szCs w:val="28"/>
        </w:rPr>
        <w:t xml:space="preserve">3.2 Phase 1: Land &amp; Foundation (2026-2027)</w:t>
      </w:r>
    </w:p>
    <w:p>
      <w:pPr>
        <w:spacing w:after="200"/>
      </w:pPr>
      <w:r>
        <w:rPr>
          <w:sz w:val="24"/>
          <w:szCs w:val="24"/>
        </w:rPr>
        <w:t xml:space="preserve">Budget: $1,850,000</w:t>
      </w:r>
    </w:p>
    <w:p>
      <w:pPr>
        <w:spacing w:after="200"/>
      </w:pPr>
      <w:r>
        <w:rPr>
          <w:b/>
          <w:bCs/>
          <w:sz w:val="24"/>
          <w:szCs w:val="24"/>
        </w:rPr>
        <w:t xml:space="preserve">Sources of Funds:</w:t>
      </w:r>
    </w:p>
    <w:p>
      <w:pPr>
        <w:pStyle w:val="ListParagraph"/>
        <w:numPr>
          <w:ilvl w:val="0"/>
          <w:numId w:val="1"/>
        </w:numPr>
        <w:spacing w:after="100"/>
      </w:pPr>
      <w:r>
        <w:rPr>
          <w:sz w:val="24"/>
          <w:szCs w:val="24"/>
        </w:rPr>
        <w:t xml:space="preserve">FSA Farm Ownership Loan: $600,000 (3.25%, 40-year term)</w:t>
      </w:r>
    </w:p>
    <w:p>
      <w:pPr>
        <w:pStyle w:val="ListParagraph"/>
        <w:numPr>
          <w:ilvl w:val="0"/>
          <w:numId w:val="1"/>
        </w:numPr>
        <w:spacing w:after="100"/>
      </w:pPr>
      <w:r>
        <w:rPr>
          <w:sz w:val="24"/>
          <w:szCs w:val="24"/>
        </w:rPr>
        <w:t xml:space="preserve">FSA Beginning Farmer Down Payment: $300,000 (1.5%, 20-year term)</w:t>
      </w:r>
    </w:p>
    <w:p>
      <w:pPr>
        <w:pStyle w:val="ListParagraph"/>
        <w:numPr>
          <w:ilvl w:val="0"/>
          <w:numId w:val="1"/>
        </w:numPr>
        <w:spacing w:after="100"/>
      </w:pPr>
      <w:r>
        <w:rPr>
          <w:sz w:val="24"/>
          <w:szCs w:val="24"/>
        </w:rPr>
        <w:t xml:space="preserve">UAIP Planning Grant: $100,000</w:t>
      </w:r>
    </w:p>
    <w:p>
      <w:pPr>
        <w:pStyle w:val="ListParagraph"/>
        <w:numPr>
          <w:ilvl w:val="0"/>
          <w:numId w:val="1"/>
        </w:numPr>
        <w:spacing w:after="100"/>
      </w:pPr>
      <w:r>
        <w:rPr>
          <w:sz w:val="24"/>
          <w:szCs w:val="24"/>
        </w:rPr>
        <w:t xml:space="preserve">SARE Farmer Grant: $30,000</w:t>
      </w:r>
    </w:p>
    <w:p>
      <w:pPr>
        <w:pStyle w:val="ListParagraph"/>
        <w:numPr>
          <w:ilvl w:val="0"/>
          <w:numId w:val="1"/>
        </w:numPr>
        <w:spacing w:after="100"/>
      </w:pPr>
      <w:r>
        <w:rPr>
          <w:sz w:val="24"/>
          <w:szCs w:val="24"/>
        </w:rPr>
        <w:t xml:space="preserve">EQIP Conservation Cost-Share: $75,000</w:t>
      </w:r>
    </w:p>
    <w:p>
      <w:pPr>
        <w:pStyle w:val="ListParagraph"/>
        <w:numPr>
          <w:ilvl w:val="0"/>
          <w:numId w:val="1"/>
        </w:numPr>
        <w:spacing w:after="100"/>
      </w:pPr>
      <w:r>
        <w:rPr>
          <w:sz w:val="24"/>
          <w:szCs w:val="24"/>
        </w:rPr>
        <w:t xml:space="preserve">State Agricultural Development Grant: $50,000</w:t>
      </w:r>
    </w:p>
    <w:p>
      <w:pPr>
        <w:pStyle w:val="ListParagraph"/>
        <w:numPr>
          <w:ilvl w:val="0"/>
          <w:numId w:val="1"/>
        </w:numPr>
        <w:spacing w:after="100"/>
      </w:pPr>
      <w:r>
        <w:rPr>
          <w:sz w:val="24"/>
          <w:szCs w:val="24"/>
        </w:rPr>
        <w:t xml:space="preserve">Owner Equity / Seed Capital: $150,000</w:t>
      </w:r>
    </w:p>
    <w:p>
      <w:pPr>
        <w:pStyle w:val="ListParagraph"/>
        <w:numPr>
          <w:ilvl w:val="0"/>
          <w:numId w:val="1"/>
        </w:numPr>
        <w:spacing w:after="100"/>
      </w:pPr>
      <w:r>
        <w:rPr>
          <w:sz w:val="24"/>
          <w:szCs w:val="24"/>
        </w:rPr>
        <w:t xml:space="preserve">FSA Operating Loan: $400,000</w:t>
      </w:r>
    </w:p>
    <w:p>
      <w:pPr>
        <w:pStyle w:val="ListParagraph"/>
        <w:numPr>
          <w:ilvl w:val="0"/>
          <w:numId w:val="1"/>
        </w:numPr>
        <w:spacing w:after="100"/>
      </w:pPr>
      <w:r>
        <w:rPr>
          <w:sz w:val="24"/>
          <w:szCs w:val="24"/>
        </w:rPr>
        <w:t xml:space="preserve">Working Capital &amp; Reserves: $145,000</w:t>
      </w:r>
    </w:p>
    <w:p>
      <w:pPr>
        <w:spacing w:after="200"/>
      </w:pPr>
      <w:r>
        <w:rPr>
          <w:b/>
          <w:bCs/>
          <w:sz w:val="24"/>
          <w:szCs w:val="24"/>
        </w:rPr>
        <w:t xml:space="preserve">Uses of Funds:</w:t>
      </w:r>
    </w:p>
    <w:p>
      <w:pPr>
        <w:pStyle w:val="ListParagraph"/>
        <w:numPr>
          <w:ilvl w:val="0"/>
          <w:numId w:val="1"/>
        </w:numPr>
        <w:spacing w:after="100"/>
      </w:pPr>
      <w:r>
        <w:rPr>
          <w:sz w:val="24"/>
          <w:szCs w:val="24"/>
        </w:rPr>
        <w:t xml:space="preserve">Land Acquisition (45 acres): $900,000</w:t>
      </w:r>
    </w:p>
    <w:p>
      <w:pPr>
        <w:pStyle w:val="ListParagraph"/>
        <w:numPr>
          <w:ilvl w:val="0"/>
          <w:numId w:val="1"/>
        </w:numPr>
        <w:spacing w:after="100"/>
      </w:pPr>
      <w:r>
        <w:rPr>
          <w:sz w:val="24"/>
          <w:szCs w:val="24"/>
        </w:rPr>
        <w:t xml:space="preserve">Site Development &amp; Infrastructure: $250,000</w:t>
      </w:r>
    </w:p>
    <w:p>
      <w:pPr>
        <w:pStyle w:val="ListParagraph"/>
        <w:numPr>
          <w:ilvl w:val="0"/>
          <w:numId w:val="1"/>
        </w:numPr>
        <w:spacing w:after="100"/>
      </w:pPr>
      <w:r>
        <w:rPr>
          <w:sz w:val="24"/>
          <w:szCs w:val="24"/>
        </w:rPr>
        <w:t xml:space="preserve">Aquaponics Containers (7 units): $350,000</w:t>
      </w:r>
    </w:p>
    <w:p>
      <w:pPr>
        <w:pStyle w:val="ListParagraph"/>
        <w:numPr>
          <w:ilvl w:val="0"/>
          <w:numId w:val="1"/>
        </w:numPr>
        <w:spacing w:after="100"/>
      </w:pPr>
      <w:r>
        <w:rPr>
          <w:sz w:val="24"/>
          <w:szCs w:val="24"/>
        </w:rPr>
        <w:t xml:space="preserve">Solar Array Installation (850 kW): $200,000</w:t>
      </w:r>
    </w:p>
    <w:p>
      <w:pPr>
        <w:pStyle w:val="ListParagraph"/>
        <w:numPr>
          <w:ilvl w:val="0"/>
          <w:numId w:val="1"/>
        </w:numPr>
        <w:spacing w:after="100"/>
      </w:pPr>
      <w:r>
        <w:rPr>
          <w:sz w:val="24"/>
          <w:szCs w:val="24"/>
        </w:rPr>
        <w:t xml:space="preserve">Working Capital &amp; Reserves: $150,000</w:t>
      </w:r>
    </w:p>
    <w:p>
      <w:pPr>
        <w:pStyle w:val="Heading2"/>
        <w:spacing w:before="300" w:after="200"/>
      </w:pPr>
      <w:r>
        <w:rPr>
          <w:b/>
          <w:bCs/>
          <w:sz w:val="28"/>
          <w:szCs w:val="28"/>
        </w:rPr>
        <w:t xml:space="preserve">3.3 Phase 2: Housing Development (2027-2028)</w:t>
      </w:r>
    </w:p>
    <w:p>
      <w:pPr>
        <w:spacing w:after="200"/>
      </w:pPr>
      <w:r>
        <w:rPr>
          <w:sz w:val="24"/>
          <w:szCs w:val="24"/>
        </w:rPr>
        <w:t xml:space="preserve">Budget: $5,750,000</w:t>
      </w:r>
    </w:p>
    <w:p>
      <w:pPr>
        <w:spacing w:after="200"/>
      </w:pPr>
      <w:r>
        <w:rPr>
          <w:b/>
          <w:bCs/>
          <w:sz w:val="24"/>
          <w:szCs w:val="24"/>
        </w:rPr>
        <w:t xml:space="preserve">Sources of Funds:</w:t>
      </w:r>
    </w:p>
    <w:p>
      <w:pPr>
        <w:pStyle w:val="ListParagraph"/>
        <w:numPr>
          <w:ilvl w:val="0"/>
          <w:numId w:val="1"/>
        </w:numPr>
        <w:spacing w:after="100"/>
      </w:pPr>
      <w:r>
        <w:rPr>
          <w:sz w:val="24"/>
          <w:szCs w:val="24"/>
        </w:rPr>
        <w:t xml:space="preserve">USDA Community Facilities Loan: $3,500,000 (3.5%, 40-year term)</w:t>
      </w:r>
    </w:p>
    <w:p>
      <w:pPr>
        <w:pStyle w:val="ListParagraph"/>
        <w:numPr>
          <w:ilvl w:val="0"/>
          <w:numId w:val="1"/>
        </w:numPr>
        <w:spacing w:after="100"/>
      </w:pPr>
      <w:r>
        <w:rPr>
          <w:sz w:val="24"/>
          <w:szCs w:val="24"/>
        </w:rPr>
        <w:t xml:space="preserve">USDA Community Facilities Grant: $750,000</w:t>
      </w:r>
    </w:p>
    <w:p>
      <w:pPr>
        <w:pStyle w:val="ListParagraph"/>
        <w:numPr>
          <w:ilvl w:val="0"/>
          <w:numId w:val="1"/>
        </w:numPr>
        <w:spacing w:after="100"/>
      </w:pPr>
      <w:r>
        <w:rPr>
          <w:sz w:val="24"/>
          <w:szCs w:val="24"/>
        </w:rPr>
        <w:t xml:space="preserve">MassHousing Affordable Housing Loan: $500,000</w:t>
      </w:r>
    </w:p>
    <w:p>
      <w:pPr>
        <w:pStyle w:val="ListParagraph"/>
        <w:numPr>
          <w:ilvl w:val="0"/>
          <w:numId w:val="1"/>
        </w:numPr>
        <w:spacing w:after="100"/>
      </w:pPr>
      <w:r>
        <w:rPr>
          <w:sz w:val="24"/>
          <w:szCs w:val="24"/>
        </w:rPr>
        <w:t xml:space="preserve">REAP Solar/Energy Grant: $250,000</w:t>
      </w:r>
    </w:p>
    <w:p>
      <w:pPr>
        <w:pStyle w:val="ListParagraph"/>
        <w:numPr>
          <w:ilvl w:val="0"/>
          <w:numId w:val="1"/>
        </w:numPr>
        <w:spacing w:after="100"/>
      </w:pPr>
      <w:r>
        <w:rPr>
          <w:sz w:val="24"/>
          <w:szCs w:val="24"/>
        </w:rPr>
        <w:t xml:space="preserve">UAIP Implementation Grant: $400,000</w:t>
      </w:r>
    </w:p>
    <w:p>
      <w:pPr>
        <w:pStyle w:val="ListParagraph"/>
        <w:numPr>
          <w:ilvl w:val="0"/>
          <w:numId w:val="1"/>
        </w:numPr>
        <w:spacing w:after="100"/>
      </w:pPr>
      <w:r>
        <w:rPr>
          <w:sz w:val="24"/>
          <w:szCs w:val="24"/>
        </w:rPr>
        <w:t xml:space="preserve">CDBG Housing Allocation: $200,000</w:t>
      </w:r>
    </w:p>
    <w:p>
      <w:pPr>
        <w:pStyle w:val="ListParagraph"/>
        <w:numPr>
          <w:ilvl w:val="0"/>
          <w:numId w:val="1"/>
        </w:numPr>
        <w:spacing w:after="100"/>
      </w:pPr>
      <w:r>
        <w:rPr>
          <w:sz w:val="24"/>
          <w:szCs w:val="24"/>
        </w:rPr>
        <w:t xml:space="preserve">Developer Fee / Retained Earnings: $150,000</w:t>
      </w:r>
    </w:p>
    <w:p>
      <w:pPr>
        <w:spacing w:after="200"/>
      </w:pPr>
      <w:r>
        <w:rPr>
          <w:b/>
          <w:bCs/>
          <w:sz w:val="24"/>
          <w:szCs w:val="24"/>
        </w:rPr>
        <w:t xml:space="preserve">Uses of Funds:</w:t>
      </w:r>
    </w:p>
    <w:p>
      <w:pPr>
        <w:pStyle w:val="ListParagraph"/>
        <w:numPr>
          <w:ilvl w:val="0"/>
          <w:numId w:val="1"/>
        </w:numPr>
        <w:spacing w:after="100"/>
      </w:pPr>
      <w:r>
        <w:rPr>
          <w:sz w:val="24"/>
          <w:szCs w:val="24"/>
        </w:rPr>
        <w:t xml:space="preserve">50 Triple Trio Housing Units: $4,250,000</w:t>
      </w:r>
    </w:p>
    <w:p>
      <w:pPr>
        <w:pStyle w:val="ListParagraph"/>
        <w:numPr>
          <w:ilvl w:val="0"/>
          <w:numId w:val="1"/>
        </w:numPr>
        <w:spacing w:after="100"/>
      </w:pPr>
      <w:r>
        <w:rPr>
          <w:sz w:val="24"/>
          <w:szCs w:val="24"/>
        </w:rPr>
        <w:t xml:space="preserve">Community Hub Building: $500,000</w:t>
      </w:r>
    </w:p>
    <w:p>
      <w:pPr>
        <w:pStyle w:val="ListParagraph"/>
        <w:numPr>
          <w:ilvl w:val="0"/>
          <w:numId w:val="1"/>
        </w:numPr>
        <w:spacing w:after="100"/>
      </w:pPr>
      <w:r>
        <w:rPr>
          <w:sz w:val="24"/>
          <w:szCs w:val="24"/>
        </w:rPr>
        <w:t xml:space="preserve">Site Infrastructure (roads, utilities): $400,000</w:t>
      </w:r>
    </w:p>
    <w:p>
      <w:pPr>
        <w:pStyle w:val="ListParagraph"/>
        <w:numPr>
          <w:ilvl w:val="0"/>
          <w:numId w:val="1"/>
        </w:numPr>
        <w:spacing w:after="100"/>
      </w:pPr>
      <w:r>
        <w:rPr>
          <w:sz w:val="24"/>
          <w:szCs w:val="24"/>
        </w:rPr>
        <w:t xml:space="preserve">Permaculture &amp; Food Forest Installation: $150,000</w:t>
      </w:r>
    </w:p>
    <w:p>
      <w:pPr>
        <w:pStyle w:val="ListParagraph"/>
        <w:numPr>
          <w:ilvl w:val="0"/>
          <w:numId w:val="1"/>
        </w:numPr>
        <w:spacing w:after="100"/>
      </w:pPr>
      <w:r>
        <w:rPr>
          <w:sz w:val="24"/>
          <w:szCs w:val="24"/>
        </w:rPr>
        <w:t xml:space="preserve">Contingency &amp; Soft Costs: $450,000</w:t>
      </w:r>
    </w:p>
    <w:p>
      <w:pPr>
        <w:pStyle w:val="Heading2"/>
        <w:spacing w:before="300" w:after="200"/>
      </w:pPr>
      <w:r>
        <w:rPr>
          <w:b/>
          <w:bCs/>
          <w:sz w:val="28"/>
          <w:szCs w:val="28"/>
        </w:rPr>
        <w:t xml:space="preserve">3.4 Phase 3: Amenities &amp; Revenue (2028-2029)</w:t>
      </w:r>
    </w:p>
    <w:p>
      <w:pPr>
        <w:spacing w:after="200"/>
      </w:pPr>
      <w:r>
        <w:rPr>
          <w:sz w:val="24"/>
          <w:szCs w:val="24"/>
        </w:rPr>
        <w:t xml:space="preserve">Budget: $1,400,000</w:t>
      </w:r>
    </w:p>
    <w:p>
      <w:pPr>
        <w:spacing w:after="200"/>
      </w:pPr>
      <w:r>
        <w:rPr>
          <w:b/>
          <w:bCs/>
          <w:sz w:val="24"/>
          <w:szCs w:val="24"/>
        </w:rPr>
        <w:t xml:space="preserve">Sources of Funds:</w:t>
      </w:r>
    </w:p>
    <w:p>
      <w:pPr>
        <w:pStyle w:val="ListParagraph"/>
        <w:numPr>
          <w:ilvl w:val="0"/>
          <w:numId w:val="1"/>
        </w:numPr>
        <w:spacing w:after="100"/>
      </w:pPr>
      <w:r>
        <w:rPr>
          <w:sz w:val="24"/>
          <w:szCs w:val="24"/>
        </w:rPr>
        <w:t xml:space="preserve">NMTC Allocation (effective subsidy): $400,000</w:t>
      </w:r>
    </w:p>
    <w:p>
      <w:pPr>
        <w:pStyle w:val="ListParagraph"/>
        <w:numPr>
          <w:ilvl w:val="0"/>
          <w:numId w:val="1"/>
        </w:numPr>
        <w:spacing w:after="100"/>
      </w:pPr>
      <w:r>
        <w:rPr>
          <w:sz w:val="24"/>
          <w:szCs w:val="24"/>
        </w:rPr>
        <w:t xml:space="preserve">Corporate Sponsorship Package: $250,000</w:t>
      </w:r>
    </w:p>
    <w:p>
      <w:pPr>
        <w:pStyle w:val="ListParagraph"/>
        <w:numPr>
          <w:ilvl w:val="0"/>
          <w:numId w:val="1"/>
        </w:numPr>
        <w:spacing w:after="100"/>
      </w:pPr>
      <w:r>
        <w:rPr>
          <w:sz w:val="24"/>
          <w:szCs w:val="24"/>
        </w:rPr>
        <w:t xml:space="preserve">Foundation Grants (agricultural education): $150,000</w:t>
      </w:r>
    </w:p>
    <w:p>
      <w:pPr>
        <w:pStyle w:val="ListParagraph"/>
        <w:numPr>
          <w:ilvl w:val="0"/>
          <w:numId w:val="1"/>
        </w:numPr>
        <w:spacing w:after="100"/>
      </w:pPr>
      <w:r>
        <w:rPr>
          <w:sz w:val="24"/>
          <w:szCs w:val="24"/>
        </w:rPr>
        <w:t xml:space="preserve">Community Capital Campaign: $200,000</w:t>
      </w:r>
    </w:p>
    <w:p>
      <w:pPr>
        <w:pStyle w:val="ListParagraph"/>
        <w:numPr>
          <w:ilvl w:val="0"/>
          <w:numId w:val="1"/>
        </w:numPr>
        <w:spacing w:after="100"/>
      </w:pPr>
      <w:r>
        <w:rPr>
          <w:sz w:val="24"/>
          <w:szCs w:val="24"/>
        </w:rPr>
        <w:t xml:space="preserve">Pre-sales / Member Deposits: $250,000</w:t>
      </w:r>
    </w:p>
    <w:p>
      <w:pPr>
        <w:pStyle w:val="ListParagraph"/>
        <w:numPr>
          <w:ilvl w:val="0"/>
          <w:numId w:val="1"/>
        </w:numPr>
        <w:spacing w:after="100"/>
      </w:pPr>
      <w:r>
        <w:rPr>
          <w:sz w:val="24"/>
          <w:szCs w:val="24"/>
        </w:rPr>
        <w:t xml:space="preserve">Additional Community Facilities Draw: $150,000</w:t>
      </w:r>
    </w:p>
    <w:p>
      <w:pPr>
        <w:spacing w:after="200"/>
      </w:pPr>
      <w:r>
        <w:rPr>
          <w:b/>
          <w:bCs/>
          <w:sz w:val="24"/>
          <w:szCs w:val="24"/>
        </w:rPr>
        <w:t xml:space="preserve">Uses of Funds:</w:t>
      </w:r>
    </w:p>
    <w:p>
      <w:pPr>
        <w:pStyle w:val="ListParagraph"/>
        <w:numPr>
          <w:ilvl w:val="0"/>
          <w:numId w:val="1"/>
        </w:numPr>
        <w:spacing w:after="100"/>
      </w:pPr>
      <w:r>
        <w:rPr>
          <w:sz w:val="24"/>
          <w:szCs w:val="24"/>
        </w:rPr>
        <w:t xml:space="preserve">Community Kitchen / Processing Facility: $350,000</w:t>
      </w:r>
    </w:p>
    <w:p>
      <w:pPr>
        <w:pStyle w:val="ListParagraph"/>
        <w:numPr>
          <w:ilvl w:val="0"/>
          <w:numId w:val="1"/>
        </w:numPr>
        <w:spacing w:after="100"/>
      </w:pPr>
      <w:r>
        <w:rPr>
          <w:sz w:val="24"/>
          <w:szCs w:val="24"/>
        </w:rPr>
        <w:t xml:space="preserve">Event &amp; Education Spaces: $300,000</w:t>
      </w:r>
    </w:p>
    <w:p>
      <w:pPr>
        <w:pStyle w:val="ListParagraph"/>
        <w:numPr>
          <w:ilvl w:val="0"/>
          <w:numId w:val="1"/>
        </w:numPr>
        <w:spacing w:after="100"/>
      </w:pPr>
      <w:r>
        <w:rPr>
          <w:sz w:val="24"/>
          <w:szCs w:val="24"/>
        </w:rPr>
        <w:t xml:space="preserve">Trail System &amp; Recreation Amenities: $150,000</w:t>
      </w:r>
    </w:p>
    <w:p>
      <w:pPr>
        <w:pStyle w:val="ListParagraph"/>
        <w:numPr>
          <w:ilvl w:val="0"/>
          <w:numId w:val="1"/>
        </w:numPr>
        <w:spacing w:after="100"/>
      </w:pPr>
      <w:r>
        <w:rPr>
          <w:sz w:val="24"/>
          <w:szCs w:val="24"/>
        </w:rPr>
        <w:t xml:space="preserve">Equipment &amp; Operations Setup: $200,000</w:t>
      </w:r>
    </w:p>
    <w:p>
      <w:pPr>
        <w:pStyle w:val="ListParagraph"/>
        <w:numPr>
          <w:ilvl w:val="0"/>
          <w:numId w:val="1"/>
        </w:numPr>
        <w:spacing w:after="100"/>
      </w:pPr>
      <w:r>
        <w:rPr>
          <w:sz w:val="24"/>
          <w:szCs w:val="24"/>
        </w:rPr>
        <w:t xml:space="preserve">Marketing &amp; Lease-up Costs: $150,000</w:t>
      </w:r>
    </w:p>
    <w:p>
      <w:pPr>
        <w:pStyle w:val="ListParagraph"/>
        <w:numPr>
          <w:ilvl w:val="0"/>
          <w:numId w:val="1"/>
        </w:numPr>
        <w:spacing w:after="100"/>
      </w:pPr>
      <w:r>
        <w:rPr>
          <w:sz w:val="24"/>
          <w:szCs w:val="24"/>
        </w:rPr>
        <w:t xml:space="preserve">Operating Reserve Fund: $250,000</w:t>
      </w:r>
    </w:p>
    <w:p>
      <w:r>
        <w:br w:type="page"/>
      </w:r>
    </w:p>
    <w:p>
      <w:pPr>
        <w:pStyle w:val="Heading2"/>
        <w:spacing w:before="300" w:after="200"/>
      </w:pPr>
      <w:r>
        <w:rPr>
          <w:b/>
          <w:bCs/>
          <w:sz w:val="28"/>
          <w:szCs w:val="28"/>
        </w:rPr>
        <w:t xml:space="preserve">3.5 Key Funding Programs Reference</w:t>
      </w:r>
    </w:p>
    <w:p>
      <w:pPr>
        <w:pStyle w:val="Heading3"/>
        <w:spacing w:before="300" w:after="200"/>
      </w:pPr>
      <w:r>
        <w:rPr>
          <w:b/>
          <w:bCs/>
          <w:sz w:val="24"/>
          <w:szCs w:val="24"/>
        </w:rPr>
        <w:t xml:space="preserve">USDA Farm Service Agency (FSA)</w:t>
      </w:r>
    </w:p>
    <w:p>
      <w:pPr>
        <w:pStyle w:val="ListParagraph"/>
        <w:numPr>
          <w:ilvl w:val="0"/>
          <w:numId w:val="1"/>
        </w:numPr>
        <w:spacing w:after="100"/>
      </w:pPr>
      <w:r>
        <w:rPr>
          <w:sz w:val="24"/>
          <w:szCs w:val="24"/>
        </w:rPr>
        <w:t xml:space="preserve">Farm Ownership Loans: Up to $600,000 for land and improvements</w:t>
      </w:r>
    </w:p>
    <w:p>
      <w:pPr>
        <w:pStyle w:val="ListParagraph"/>
        <w:numPr>
          <w:ilvl w:val="0"/>
          <w:numId w:val="1"/>
        </w:numPr>
        <w:spacing w:after="100"/>
      </w:pPr>
      <w:r>
        <w:rPr>
          <w:sz w:val="24"/>
          <w:szCs w:val="24"/>
        </w:rPr>
        <w:t xml:space="preserve">Beginning Farmer Down Payment Program: Up to $300,150 at 1.5%</w:t>
      </w:r>
    </w:p>
    <w:p>
      <w:pPr>
        <w:pStyle w:val="ListParagraph"/>
        <w:numPr>
          <w:ilvl w:val="0"/>
          <w:numId w:val="1"/>
        </w:numPr>
        <w:spacing w:after="100"/>
      </w:pPr>
      <w:r>
        <w:rPr>
          <w:sz w:val="24"/>
          <w:szCs w:val="24"/>
        </w:rPr>
        <w:t xml:space="preserve">Operating Loans: Up to $400,000 for equipment and working capital</w:t>
      </w:r>
    </w:p>
    <w:p>
      <w:pPr>
        <w:pStyle w:val="ListParagraph"/>
        <w:numPr>
          <w:ilvl w:val="0"/>
          <w:numId w:val="1"/>
        </w:numPr>
        <w:spacing w:after="100"/>
      </w:pPr>
      <w:r>
        <w:rPr>
          <w:sz w:val="24"/>
          <w:szCs w:val="24"/>
        </w:rPr>
        <w:t xml:space="preserve">Contact: FSA Carroll County Office (if in NH) or local county office</w:t>
      </w:r>
    </w:p>
    <w:p>
      <w:pPr>
        <w:pStyle w:val="Heading3"/>
        <w:spacing w:before="300" w:after="200"/>
      </w:pPr>
      <w:r>
        <w:rPr>
          <w:b/>
          <w:bCs/>
          <w:sz w:val="24"/>
          <w:szCs w:val="24"/>
        </w:rPr>
        <w:t xml:space="preserve">USDA Rural Development</w:t>
      </w:r>
    </w:p>
    <w:p>
      <w:pPr>
        <w:pStyle w:val="ListParagraph"/>
        <w:numPr>
          <w:ilvl w:val="0"/>
          <w:numId w:val="1"/>
        </w:numPr>
        <w:spacing w:after="100"/>
      </w:pPr>
      <w:r>
        <w:rPr>
          <w:sz w:val="24"/>
          <w:szCs w:val="24"/>
        </w:rPr>
        <w:t xml:space="preserve">Community Facilities: Loans up to 100% of project, grants up to 75%</w:t>
      </w:r>
    </w:p>
    <w:p>
      <w:pPr>
        <w:pStyle w:val="ListParagraph"/>
        <w:numPr>
          <w:ilvl w:val="0"/>
          <w:numId w:val="1"/>
        </w:numPr>
        <w:spacing w:after="100"/>
      </w:pPr>
      <w:r>
        <w:rPr>
          <w:sz w:val="24"/>
          <w:szCs w:val="24"/>
        </w:rPr>
        <w:t xml:space="preserve">REAP: Up to $500,000 for renewable energy systems</w:t>
      </w:r>
    </w:p>
    <w:p>
      <w:pPr>
        <w:pStyle w:val="ListParagraph"/>
        <w:numPr>
          <w:ilvl w:val="0"/>
          <w:numId w:val="1"/>
        </w:numPr>
        <w:spacing w:after="100"/>
      </w:pPr>
      <w:r>
        <w:rPr>
          <w:sz w:val="24"/>
          <w:szCs w:val="24"/>
        </w:rPr>
        <w:t xml:space="preserve">VAPG: Up to $250,000 for value-added processing</w:t>
      </w:r>
    </w:p>
    <w:p>
      <w:pPr>
        <w:pStyle w:val="ListParagraph"/>
        <w:numPr>
          <w:ilvl w:val="0"/>
          <w:numId w:val="1"/>
        </w:numPr>
        <w:spacing w:after="100"/>
      </w:pPr>
      <w:r>
        <w:rPr>
          <w:sz w:val="24"/>
          <w:szCs w:val="24"/>
        </w:rPr>
        <w:t xml:space="preserve">Contact: USDA RD State Office</w:t>
      </w:r>
    </w:p>
    <w:p>
      <w:pPr>
        <w:pStyle w:val="Heading3"/>
        <w:spacing w:before="300" w:after="200"/>
      </w:pPr>
      <w:r>
        <w:rPr>
          <w:b/>
          <w:bCs/>
          <w:sz w:val="24"/>
          <w:szCs w:val="24"/>
        </w:rPr>
        <w:t xml:space="preserve">USDA NIFA &amp; NRCS</w:t>
      </w:r>
    </w:p>
    <w:p>
      <w:pPr>
        <w:pStyle w:val="ListParagraph"/>
        <w:numPr>
          <w:ilvl w:val="0"/>
          <w:numId w:val="1"/>
        </w:numPr>
        <w:spacing w:after="100"/>
      </w:pPr>
      <w:r>
        <w:rPr>
          <w:sz w:val="24"/>
          <w:szCs w:val="24"/>
        </w:rPr>
        <w:t xml:space="preserve">UAIP: Up to $100,000 planning, $500,000 implementation for innovative ag</w:t>
      </w:r>
    </w:p>
    <w:p>
      <w:pPr>
        <w:pStyle w:val="ListParagraph"/>
        <w:numPr>
          <w:ilvl w:val="0"/>
          <w:numId w:val="1"/>
        </w:numPr>
        <w:spacing w:after="100"/>
      </w:pPr>
      <w:r>
        <w:rPr>
          <w:sz w:val="24"/>
          <w:szCs w:val="24"/>
        </w:rPr>
        <w:t xml:space="preserve">SARE: Up to $30,000 for farmer research and demonstration</w:t>
      </w:r>
    </w:p>
    <w:p>
      <w:pPr>
        <w:pStyle w:val="ListParagraph"/>
        <w:numPr>
          <w:ilvl w:val="0"/>
          <w:numId w:val="1"/>
        </w:numPr>
        <w:spacing w:after="100"/>
      </w:pPr>
      <w:r>
        <w:rPr>
          <w:sz w:val="24"/>
          <w:szCs w:val="24"/>
        </w:rPr>
        <w:t xml:space="preserve">EQIP: Cost-share for conservation practices (up to 90% for beginning farmers)</w:t>
      </w:r>
    </w:p>
    <w:p>
      <w:pPr>
        <w:pStyle w:val="Heading3"/>
        <w:spacing w:before="300" w:after="200"/>
      </w:pPr>
      <w:r>
        <w:rPr>
          <w:b/>
          <w:bCs/>
          <w:sz w:val="24"/>
          <w:szCs w:val="24"/>
        </w:rPr>
        <w:t xml:space="preserve">Tax Credit Programs</w:t>
      </w:r>
    </w:p>
    <w:p>
      <w:pPr>
        <w:pStyle w:val="ListParagraph"/>
        <w:numPr>
          <w:ilvl w:val="0"/>
          <w:numId w:val="1"/>
        </w:numPr>
        <w:spacing w:after="100"/>
      </w:pPr>
      <w:r>
        <w:rPr>
          <w:sz w:val="24"/>
          <w:szCs w:val="24"/>
        </w:rPr>
        <w:t xml:space="preserve">New Markets Tax Credits: ~20% effective subsidy through CDEs</w:t>
      </w:r>
    </w:p>
    <w:p>
      <w:pPr>
        <w:pStyle w:val="ListParagraph"/>
        <w:numPr>
          <w:ilvl w:val="0"/>
          <w:numId w:val="1"/>
        </w:numPr>
        <w:spacing w:after="100"/>
      </w:pPr>
      <w:r>
        <w:rPr>
          <w:sz w:val="24"/>
          <w:szCs w:val="24"/>
        </w:rPr>
        <w:t xml:space="preserve">Investment Tax Credit: 30% for qualifying solar installations</w:t>
      </w:r>
    </w:p>
    <w:p>
      <w:pPr>
        <w:pStyle w:val="ListParagraph"/>
        <w:numPr>
          <w:ilvl w:val="0"/>
          <w:numId w:val="1"/>
        </w:numPr>
        <w:spacing w:after="100"/>
      </w:pPr>
      <w:r>
        <w:rPr>
          <w:sz w:val="24"/>
          <w:szCs w:val="24"/>
        </w:rPr>
        <w:t xml:space="preserve">Contact: NH Community Loan Fund for NMTC allocation</w:t>
      </w:r>
    </w:p>
    <w:p>
      <w:r>
        <w:br w:type="page"/>
      </w:r>
    </w:p>
    <w:p>
      <w:pPr>
        <w:pStyle w:val="Heading1"/>
        <w:spacing w:before="400" w:after="200"/>
      </w:pPr>
      <w:r>
        <w:rPr>
          <w:b/>
          <w:bCs/>
          <w:sz w:val="36"/>
          <w:szCs w:val="36"/>
        </w:rPr>
        <w:t xml:space="preserve">Section 4: Implementation Timeline</w:t>
      </w:r>
    </w:p>
    <w:p>
      <w:pPr>
        <w:pStyle w:val="Heading2"/>
        <w:spacing w:before="300" w:after="200"/>
      </w:pPr>
      <w:r>
        <w:rPr>
          <w:b/>
          <w:bCs/>
          <w:sz w:val="28"/>
          <w:szCs w:val="28"/>
        </w:rPr>
        <w:t xml:space="preserve">Year 1 (2026): Foundation</w:t>
      </w:r>
    </w:p>
    <w:p>
      <w:pPr>
        <w:spacing w:after="200"/>
      </w:pPr>
      <w:r>
        <w:rPr>
          <w:b/>
          <w:bCs/>
          <w:sz w:val="24"/>
          <w:szCs w:val="24"/>
        </w:rPr>
        <w:t xml:space="preserve">Q1-Q2:</w:t>
      </w:r>
    </w:p>
    <w:p>
      <w:pPr>
        <w:pStyle w:val="ListParagraph"/>
        <w:numPr>
          <w:ilvl w:val="0"/>
          <w:numId w:val="1"/>
        </w:numPr>
        <w:spacing w:after="100"/>
      </w:pPr>
      <w:r>
        <w:rPr>
          <w:sz w:val="24"/>
          <w:szCs w:val="24"/>
        </w:rPr>
        <w:t xml:space="preserve">Form agricultural business entity (LLC or cooperative)</w:t>
      </w:r>
    </w:p>
    <w:p>
      <w:pPr>
        <w:pStyle w:val="ListParagraph"/>
        <w:numPr>
          <w:ilvl w:val="0"/>
          <w:numId w:val="1"/>
        </w:numPr>
        <w:spacing w:after="100"/>
      </w:pPr>
      <w:r>
        <w:rPr>
          <w:sz w:val="24"/>
          <w:szCs w:val="24"/>
        </w:rPr>
        <w:t xml:space="preserve">Apply for FSA Farm Ownership Loan</w:t>
      </w:r>
    </w:p>
    <w:p>
      <w:pPr>
        <w:pStyle w:val="ListParagraph"/>
        <w:numPr>
          <w:ilvl w:val="0"/>
          <w:numId w:val="1"/>
        </w:numPr>
        <w:spacing w:after="100"/>
      </w:pPr>
      <w:r>
        <w:rPr>
          <w:sz w:val="24"/>
          <w:szCs w:val="24"/>
        </w:rPr>
        <w:t xml:space="preserve">Contact NRCS for EQIP consultation</w:t>
      </w:r>
    </w:p>
    <w:p>
      <w:pPr>
        <w:pStyle w:val="ListParagraph"/>
        <w:numPr>
          <w:ilvl w:val="0"/>
          <w:numId w:val="1"/>
        </w:numPr>
        <w:spacing w:after="100"/>
      </w:pPr>
      <w:r>
        <w:rPr>
          <w:sz w:val="24"/>
          <w:szCs w:val="24"/>
        </w:rPr>
        <w:t xml:space="preserve">Submit SARE farmer grant application</w:t>
      </w:r>
    </w:p>
    <w:p>
      <w:pPr>
        <w:spacing w:after="200"/>
      </w:pPr>
      <w:r>
        <w:rPr>
          <w:b/>
          <w:bCs/>
          <w:sz w:val="24"/>
          <w:szCs w:val="24"/>
        </w:rPr>
        <w:t xml:space="preserve">Q3-Q4:</w:t>
      </w:r>
    </w:p>
    <w:p>
      <w:pPr>
        <w:pStyle w:val="ListParagraph"/>
        <w:numPr>
          <w:ilvl w:val="0"/>
          <w:numId w:val="1"/>
        </w:numPr>
        <w:spacing w:after="100"/>
      </w:pPr>
      <w:r>
        <w:rPr>
          <w:sz w:val="24"/>
          <w:szCs w:val="24"/>
        </w:rPr>
        <w:t xml:space="preserve">Close on land acquisition</w:t>
      </w:r>
    </w:p>
    <w:p>
      <w:pPr>
        <w:pStyle w:val="ListParagraph"/>
        <w:numPr>
          <w:ilvl w:val="0"/>
          <w:numId w:val="1"/>
        </w:numPr>
        <w:spacing w:after="100"/>
      </w:pPr>
      <w:r>
        <w:rPr>
          <w:sz w:val="24"/>
          <w:szCs w:val="24"/>
        </w:rPr>
        <w:t xml:space="preserve">Submit UAIP planning grant application</w:t>
      </w:r>
    </w:p>
    <w:p>
      <w:pPr>
        <w:pStyle w:val="ListParagraph"/>
        <w:numPr>
          <w:ilvl w:val="0"/>
          <w:numId w:val="1"/>
        </w:numPr>
        <w:spacing w:after="100"/>
      </w:pPr>
      <w:r>
        <w:rPr>
          <w:sz w:val="24"/>
          <w:szCs w:val="24"/>
        </w:rPr>
        <w:t xml:space="preserve">Install first 3 aquaponics containers</w:t>
      </w:r>
    </w:p>
    <w:p>
      <w:pPr>
        <w:pStyle w:val="ListParagraph"/>
        <w:numPr>
          <w:ilvl w:val="0"/>
          <w:numId w:val="1"/>
        </w:numPr>
        <w:spacing w:after="100"/>
      </w:pPr>
      <w:r>
        <w:rPr>
          <w:sz w:val="24"/>
          <w:szCs w:val="24"/>
        </w:rPr>
        <w:t xml:space="preserve">Begin trout production cycle</w:t>
      </w:r>
    </w:p>
    <w:p>
      <w:pPr>
        <w:pStyle w:val="ListParagraph"/>
        <w:numPr>
          <w:ilvl w:val="0"/>
          <w:numId w:val="1"/>
        </w:numPr>
        <w:spacing w:after="100"/>
      </w:pPr>
      <w:r>
        <w:rPr>
          <w:sz w:val="24"/>
          <w:szCs w:val="24"/>
        </w:rPr>
        <w:t xml:space="preserve">Commission solar array</w:t>
      </w:r>
    </w:p>
    <w:p>
      <w:pPr>
        <w:pStyle w:val="Heading2"/>
        <w:spacing w:before="300" w:after="200"/>
      </w:pPr>
      <w:r>
        <w:rPr>
          <w:b/>
          <w:bCs/>
          <w:sz w:val="28"/>
          <w:szCs w:val="28"/>
        </w:rPr>
        <w:t xml:space="preserve">Year 2 (2027): Expansion</w:t>
      </w:r>
    </w:p>
    <w:p>
      <w:pPr>
        <w:spacing w:after="200"/>
      </w:pPr>
      <w:r>
        <w:rPr>
          <w:b/>
          <w:bCs/>
          <w:sz w:val="24"/>
          <w:szCs w:val="24"/>
        </w:rPr>
        <w:t xml:space="preserve">Q1-Q2:</w:t>
      </w:r>
    </w:p>
    <w:p>
      <w:pPr>
        <w:pStyle w:val="ListParagraph"/>
        <w:numPr>
          <w:ilvl w:val="0"/>
          <w:numId w:val="1"/>
        </w:numPr>
        <w:spacing w:after="100"/>
      </w:pPr>
      <w:r>
        <w:rPr>
          <w:sz w:val="24"/>
          <w:szCs w:val="24"/>
        </w:rPr>
        <w:t xml:space="preserve">Expand to 7 aquaponics containers</w:t>
      </w:r>
    </w:p>
    <w:p>
      <w:pPr>
        <w:pStyle w:val="ListParagraph"/>
        <w:numPr>
          <w:ilvl w:val="0"/>
          <w:numId w:val="1"/>
        </w:numPr>
        <w:spacing w:after="100"/>
      </w:pPr>
      <w:r>
        <w:rPr>
          <w:sz w:val="24"/>
          <w:szCs w:val="24"/>
        </w:rPr>
        <w:t xml:space="preserve">Establish value-added processing</w:t>
      </w:r>
    </w:p>
    <w:p>
      <w:pPr>
        <w:pStyle w:val="ListParagraph"/>
        <w:numPr>
          <w:ilvl w:val="0"/>
          <w:numId w:val="1"/>
        </w:numPr>
        <w:spacing w:after="100"/>
      </w:pPr>
      <w:r>
        <w:rPr>
          <w:sz w:val="24"/>
          <w:szCs w:val="24"/>
        </w:rPr>
        <w:t xml:space="preserve">Submit UAIP implementation grant</w:t>
      </w:r>
    </w:p>
    <w:p>
      <w:pPr>
        <w:pStyle w:val="ListParagraph"/>
        <w:numPr>
          <w:ilvl w:val="0"/>
          <w:numId w:val="1"/>
        </w:numPr>
        <w:spacing w:after="100"/>
      </w:pPr>
      <w:r>
        <w:rPr>
          <w:sz w:val="24"/>
          <w:szCs w:val="24"/>
        </w:rPr>
        <w:t xml:space="preserve">Begin USDA Community Facilities application</w:t>
      </w:r>
    </w:p>
    <w:p>
      <w:pPr>
        <w:pStyle w:val="ListParagraph"/>
        <w:numPr>
          <w:ilvl w:val="0"/>
          <w:numId w:val="1"/>
        </w:numPr>
        <w:spacing w:after="100"/>
      </w:pPr>
      <w:r>
        <w:rPr>
          <w:sz w:val="24"/>
          <w:szCs w:val="24"/>
        </w:rPr>
        <w:t xml:space="preserve">Engage architect for housing design</w:t>
      </w:r>
    </w:p>
    <w:p>
      <w:pPr>
        <w:spacing w:after="200"/>
      </w:pPr>
      <w:r>
        <w:rPr>
          <w:b/>
          <w:bCs/>
          <w:sz w:val="24"/>
          <w:szCs w:val="24"/>
        </w:rPr>
        <w:t xml:space="preserve">Q3-Q4:</w:t>
      </w:r>
    </w:p>
    <w:p>
      <w:pPr>
        <w:pStyle w:val="ListParagraph"/>
        <w:numPr>
          <w:ilvl w:val="0"/>
          <w:numId w:val="1"/>
        </w:numPr>
        <w:spacing w:after="100"/>
      </w:pPr>
      <w:r>
        <w:rPr>
          <w:sz w:val="24"/>
          <w:szCs w:val="24"/>
        </w:rPr>
        <w:t xml:space="preserve">First farm revenue from fish and produce</w:t>
      </w:r>
    </w:p>
    <w:p>
      <w:pPr>
        <w:pStyle w:val="ListParagraph"/>
        <w:numPr>
          <w:ilvl w:val="0"/>
          <w:numId w:val="1"/>
        </w:numPr>
        <w:spacing w:after="100"/>
      </w:pPr>
      <w:r>
        <w:rPr>
          <w:sz w:val="24"/>
          <w:szCs w:val="24"/>
        </w:rPr>
        <w:t xml:space="preserve">Submit formal Community Facilities application</w:t>
      </w:r>
    </w:p>
    <w:p>
      <w:pPr>
        <w:pStyle w:val="ListParagraph"/>
        <w:numPr>
          <w:ilvl w:val="0"/>
          <w:numId w:val="1"/>
        </w:numPr>
        <w:spacing w:after="100"/>
      </w:pPr>
      <w:r>
        <w:rPr>
          <w:sz w:val="24"/>
          <w:szCs w:val="24"/>
        </w:rPr>
        <w:t xml:space="preserve">Launch corporate sponsorship outreach</w:t>
      </w:r>
    </w:p>
    <w:p>
      <w:pPr>
        <w:pStyle w:val="ListParagraph"/>
        <w:numPr>
          <w:ilvl w:val="0"/>
          <w:numId w:val="1"/>
        </w:numPr>
        <w:spacing w:after="100"/>
      </w:pPr>
      <w:r>
        <w:rPr>
          <w:sz w:val="24"/>
          <w:szCs w:val="24"/>
        </w:rPr>
        <w:t xml:space="preserve">Install food forest plantings</w:t>
      </w:r>
    </w:p>
    <w:p>
      <w:pPr>
        <w:pStyle w:val="Heading2"/>
        <w:spacing w:before="300" w:after="200"/>
      </w:pPr>
      <w:r>
        <w:rPr>
          <w:b/>
          <w:bCs/>
          <w:sz w:val="28"/>
          <w:szCs w:val="28"/>
        </w:rPr>
        <w:t xml:space="preserve">Year 3 (2028): Construction</w:t>
      </w:r>
    </w:p>
    <w:p>
      <w:pPr>
        <w:pStyle w:val="ListParagraph"/>
        <w:numPr>
          <w:ilvl w:val="0"/>
          <w:numId w:val="1"/>
        </w:numPr>
        <w:spacing w:after="100"/>
      </w:pPr>
      <w:r>
        <w:rPr>
          <w:sz w:val="24"/>
          <w:szCs w:val="24"/>
        </w:rPr>
        <w:t xml:space="preserve">Q1: Close Community Facilities financing</w:t>
      </w:r>
    </w:p>
    <w:p>
      <w:pPr>
        <w:pStyle w:val="ListParagraph"/>
        <w:numPr>
          <w:ilvl w:val="0"/>
          <w:numId w:val="1"/>
        </w:numPr>
        <w:spacing w:after="100"/>
      </w:pPr>
      <w:r>
        <w:rPr>
          <w:sz w:val="24"/>
          <w:szCs w:val="24"/>
        </w:rPr>
        <w:t xml:space="preserve">Q2: Break ground on first housing clusters</w:t>
      </w:r>
    </w:p>
    <w:p>
      <w:pPr>
        <w:pStyle w:val="ListParagraph"/>
        <w:numPr>
          <w:ilvl w:val="0"/>
          <w:numId w:val="1"/>
        </w:numPr>
        <w:spacing w:after="100"/>
      </w:pPr>
      <w:r>
        <w:rPr>
          <w:sz w:val="24"/>
          <w:szCs w:val="24"/>
        </w:rPr>
        <w:t xml:space="preserve">Q3: Continue construction, begin pre-leasing</w:t>
      </w:r>
    </w:p>
    <w:p>
      <w:pPr>
        <w:pStyle w:val="ListParagraph"/>
        <w:numPr>
          <w:ilvl w:val="0"/>
          <w:numId w:val="1"/>
        </w:numPr>
        <w:spacing w:after="100"/>
      </w:pPr>
      <w:r>
        <w:rPr>
          <w:sz w:val="24"/>
          <w:szCs w:val="24"/>
        </w:rPr>
        <w:t xml:space="preserve">Q4: Complete first 3 clusters, begin occupancy</w:t>
      </w:r>
    </w:p>
    <w:p>
      <w:pPr>
        <w:pStyle w:val="Heading2"/>
        <w:spacing w:before="300" w:after="200"/>
      </w:pPr>
      <w:r>
        <w:rPr>
          <w:b/>
          <w:bCs/>
          <w:sz w:val="28"/>
          <w:szCs w:val="28"/>
        </w:rPr>
        <w:t xml:space="preserve">Year 4 (2029): Completion</w:t>
      </w:r>
    </w:p>
    <w:p>
      <w:pPr>
        <w:pStyle w:val="ListParagraph"/>
        <w:numPr>
          <w:ilvl w:val="0"/>
          <w:numId w:val="1"/>
        </w:numPr>
        <w:spacing w:after="100"/>
      </w:pPr>
      <w:r>
        <w:rPr>
          <w:sz w:val="24"/>
          <w:szCs w:val="24"/>
        </w:rPr>
        <w:t xml:space="preserve">Q1-Q2: Complete remaining clusters</w:t>
      </w:r>
    </w:p>
    <w:p>
      <w:pPr>
        <w:pStyle w:val="ListParagraph"/>
        <w:numPr>
          <w:ilvl w:val="0"/>
          <w:numId w:val="1"/>
        </w:numPr>
        <w:spacing w:after="100"/>
      </w:pPr>
      <w:r>
        <w:rPr>
          <w:sz w:val="24"/>
          <w:szCs w:val="24"/>
        </w:rPr>
        <w:t xml:space="preserve">Q3: Community hub and amenities complete</w:t>
      </w:r>
    </w:p>
    <w:p>
      <w:pPr>
        <w:pStyle w:val="ListParagraph"/>
        <w:numPr>
          <w:ilvl w:val="0"/>
          <w:numId w:val="1"/>
        </w:numPr>
        <w:spacing w:after="100"/>
      </w:pPr>
      <w:r>
        <w:rPr>
          <w:sz w:val="24"/>
          <w:szCs w:val="24"/>
        </w:rPr>
        <w:t xml:space="preserve">Q4: Full occupancy, integrated operations</w:t>
      </w:r>
    </w:p>
    <w:p>
      <w:r>
        <w:br w:type="page"/>
      </w:r>
    </w:p>
    <w:p>
      <w:pPr>
        <w:pStyle w:val="Heading1"/>
        <w:spacing w:before="400" w:after="200"/>
      </w:pPr>
      <w:r>
        <w:rPr>
          <w:b/>
          <w:bCs/>
          <w:sz w:val="36"/>
          <w:szCs w:val="36"/>
        </w:rPr>
        <w:t xml:space="preserve">Appendix: Key Contacts</w:t>
      </w:r>
    </w:p>
    <w:p>
      <w:pPr>
        <w:pStyle w:val="Heading2"/>
        <w:spacing w:before="300" w:after="200"/>
      </w:pPr>
      <w:r>
        <w:rPr>
          <w:b/>
          <w:bCs/>
          <w:sz w:val="28"/>
          <w:szCs w:val="28"/>
        </w:rPr>
        <w:t xml:space="preserve">Federal Agencies</w:t>
      </w:r>
    </w:p>
    <w:p>
      <w:pPr>
        <w:spacing w:after="200"/>
      </w:pPr>
      <w:r>
        <w:rPr>
          <w:sz w:val="24"/>
          <w:szCs w:val="24"/>
        </w:rPr>
        <w:t xml:space="preserve">USDA Farm Service Agency - Carroll County (NH): (603) 447-2218</w:t>
      </w:r>
    </w:p>
    <w:p>
      <w:pPr>
        <w:spacing w:after="200"/>
      </w:pPr>
      <w:r>
        <w:rPr>
          <w:sz w:val="24"/>
          <w:szCs w:val="24"/>
        </w:rPr>
        <w:t xml:space="preserve">USDA Rural Development - NH/VT Office: (802) 828-6080</w:t>
      </w:r>
    </w:p>
    <w:p>
      <w:pPr>
        <w:spacing w:after="200"/>
      </w:pPr>
      <w:r>
        <w:rPr>
          <w:sz w:val="24"/>
          <w:szCs w:val="24"/>
        </w:rPr>
        <w:t xml:space="preserve">USDA NRCS - Carroll County: (603) 447-2218</w:t>
      </w:r>
    </w:p>
    <w:p>
      <w:pPr>
        <w:pStyle w:val="Heading2"/>
        <w:spacing w:before="300" w:after="200"/>
      </w:pPr>
      <w:r>
        <w:rPr>
          <w:b/>
          <w:bCs/>
          <w:sz w:val="28"/>
          <w:szCs w:val="28"/>
        </w:rPr>
        <w:t xml:space="preserve">State Agencies</w:t>
      </w:r>
    </w:p>
    <w:p>
      <w:pPr>
        <w:spacing w:after="200"/>
      </w:pPr>
      <w:r>
        <w:rPr>
          <w:sz w:val="24"/>
          <w:szCs w:val="24"/>
        </w:rPr>
        <w:t xml:space="preserve">Massachusetts Department of Agricultural Resources: (617) 626-1700</w:t>
      </w:r>
    </w:p>
    <w:p>
      <w:pPr>
        <w:spacing w:after="200"/>
      </w:pPr>
      <w:r>
        <w:rPr>
          <w:sz w:val="24"/>
          <w:szCs w:val="24"/>
        </w:rPr>
        <w:t xml:space="preserve">MassDevelopment: (800) 445-8030</w:t>
      </w:r>
    </w:p>
    <w:p>
      <w:pPr>
        <w:spacing w:after="200"/>
      </w:pPr>
      <w:r>
        <w:rPr>
          <w:sz w:val="24"/>
          <w:szCs w:val="24"/>
        </w:rPr>
        <w:t xml:space="preserve">MassHousing: (617) 854-1000</w:t>
      </w:r>
    </w:p>
    <w:p>
      <w:pPr>
        <w:pStyle w:val="Heading2"/>
        <w:spacing w:before="300" w:after="200"/>
      </w:pPr>
      <w:r>
        <w:rPr>
          <w:b/>
          <w:bCs/>
          <w:sz w:val="28"/>
          <w:szCs w:val="28"/>
        </w:rPr>
        <w:t xml:space="preserve">Financial Institutions</w:t>
      </w:r>
    </w:p>
    <w:p>
      <w:pPr>
        <w:spacing w:after="200"/>
      </w:pPr>
      <w:r>
        <w:rPr>
          <w:sz w:val="24"/>
          <w:szCs w:val="24"/>
        </w:rPr>
        <w:t xml:space="preserve">NH Community Loan Fund (NMTC): (603) 224-6669</w:t>
      </w:r>
    </w:p>
    <w:p>
      <w:pPr>
        <w:spacing w:after="200"/>
      </w:pPr>
      <w:r>
        <w:rPr>
          <w:sz w:val="24"/>
          <w:szCs w:val="24"/>
        </w:rPr>
        <w:t xml:space="preserve">Community Development Financial Institutions</w:t>
      </w:r>
    </w:p>
    <w:p>
      <w:pPr>
        <w:spacing w:before="800"/>
      </w:pPr>
    </w:p>
    <w:p>
      <w:pPr>
        <w:jc w:val="center"/>
      </w:pPr>
      <w:r>
        <w:rPr>
          <w:color w:val="666666"/>
          <w:sz w:val="20"/>
          <w:szCs w:val="20"/>
        </w:rPr>
        <w:t xml:space="preserve">--- END OF DOCUMENT ---</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20"/>
        <w:szCs w:val="20"/>
      </w:rPr>
      <w:t xml:space="preserve">Page </w:t>
    </w:r>
    <w:r>
      <w:rPr>
        <w:color w:val="666666"/>
        <w:sz w:val="20"/>
        <w:szCs w:val="20"/>
      </w:rPr>
      <w:fldChar w:fldCharType="begin"/>
      <w:instrText xml:space="preserve">PAGE</w:instrText>
      <w:fldChar w:fldCharType="separate"/>
      <w:fldChar w:fldCharType="end"/>
    </w:r>
    <w:r>
      <w:rPr>
        <w:color w:val="666666"/>
        <w:sz w:val="20"/>
        <w:szCs w:val="20"/>
      </w:rPr>
      <w:t xml:space="preserve"> | Killer Catfish LLC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66666"/>
        <w:sz w:val="20"/>
        <w:szCs w:val="20"/>
      </w:rPr>
      <w:t xml:space="preserve">Town Woods Regenerative Village - Development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e3a5f"/>
      <w:sz w:val="36"/>
      <w:szCs w:val="36"/>
    </w:rPr>
  </w:style>
  <w:style w:type="paragraph" w:styleId="Heading2">
    <w:name w:val="Heading 2"/>
    <w:basedOn w:val="Normal"/>
    <w:next w:val="Normal"/>
    <w:qFormat/>
    <w:pPr>
      <w:spacing w:before="300" w:after="200"/>
      <w:outlineLvl w:val="1"/>
    </w:pPr>
    <w:rPr>
      <w:rFonts w:ascii="Arial" w:cs="Arial" w:eastAsia="Arial" w:hAnsi="Arial"/>
      <w:b/>
      <w:bCs/>
      <w:color w:val="2563eb"/>
      <w:sz w:val="28"/>
      <w:szCs w:val="28"/>
    </w:rPr>
  </w:style>
  <w:style w:type="paragraph" w:styleId="Heading3">
    <w:name w:val="Heading 3"/>
    <w:basedOn w:val="Normal"/>
    <w:next w:val="Normal"/>
    <w:qFormat/>
    <w:pPr>
      <w:spacing w:before="240" w:after="160"/>
      <w:outlineLvl w:val="2"/>
    </w:pPr>
    <w:rPr>
      <w:rFonts w:ascii="Arial" w:cs="Arial" w:eastAsia="Arial" w:hAnsi="Arial"/>
      <w:b/>
      <w:bCs/>
      <w:color w:val="05966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2026-01-27T02:08:30.595Z</dcterms:created>
  <dcterms:modified xsi:type="dcterms:W3CDTF">2026-01-27T02:08:30.596Z</dcterms:modified>
</cp:coreProperties>
</file>

<file path=docProps/custom.xml><?xml version="1.0" encoding="utf-8"?>
<Properties xmlns="http://schemas.openxmlformats.org/officeDocument/2006/custom-properties" xmlns:vt="http://schemas.openxmlformats.org/officeDocument/2006/docPropsVTypes"/>
</file>